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0" w:firstLineChars="0"/>
        <w:jc w:val="center"/>
        <w:rPr>
          <w:rFonts w:hint="eastAsia" w:eastAsia="黑体"/>
          <w:color w:val="000000"/>
          <w:sz w:val="48"/>
          <w:szCs w:val="48"/>
          <w:lang w:eastAsia="zh-CN"/>
        </w:rPr>
      </w:pPr>
      <w:r>
        <w:rPr>
          <w:rFonts w:hint="eastAsia" w:eastAsia="黑体"/>
          <w:color w:val="000000"/>
          <w:sz w:val="48"/>
          <w:szCs w:val="48"/>
        </w:rPr>
        <w:t>合作市</w:t>
      </w:r>
      <w:r>
        <w:rPr>
          <w:rFonts w:hint="eastAsia" w:eastAsia="黑体"/>
          <w:color w:val="000000"/>
          <w:sz w:val="48"/>
          <w:szCs w:val="48"/>
          <w:lang w:eastAsia="zh-CN"/>
        </w:rPr>
        <w:t>城镇低效用地再开发规划</w:t>
      </w:r>
    </w:p>
    <w:p>
      <w:pPr>
        <w:adjustRightInd w:val="0"/>
        <w:snapToGrid w:val="0"/>
        <w:spacing w:line="360" w:lineRule="auto"/>
        <w:ind w:firstLine="0" w:firstLineChars="0"/>
        <w:jc w:val="center"/>
        <w:rPr>
          <w:rFonts w:eastAsia="黑体"/>
          <w:color w:val="000000"/>
          <w:sz w:val="48"/>
          <w:szCs w:val="48"/>
        </w:rPr>
      </w:pPr>
      <w:r>
        <w:rPr>
          <w:rFonts w:hint="eastAsia" w:eastAsia="黑体"/>
          <w:color w:val="000000"/>
          <w:sz w:val="48"/>
          <w:szCs w:val="48"/>
        </w:rPr>
        <w:t>技术报告</w:t>
      </w:r>
      <w:r>
        <w:rPr>
          <w:rFonts w:hint="eastAsia" w:eastAsia="黑体"/>
          <w:color w:val="000000"/>
          <w:sz w:val="48"/>
          <w:szCs w:val="48"/>
          <w:lang w:val="en-US" w:eastAsia="zh-CN"/>
        </w:rPr>
        <w:t>(2018-2022)</w:t>
      </w: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adjustRightInd w:val="0"/>
        <w:snapToGrid w:val="0"/>
        <w:spacing w:line="360" w:lineRule="auto"/>
        <w:ind w:firstLine="960"/>
        <w:jc w:val="center"/>
        <w:rPr>
          <w:rFonts w:eastAsia="黑体"/>
          <w:color w:val="000000"/>
          <w:sz w:val="48"/>
          <w:szCs w:val="48"/>
        </w:rPr>
      </w:pPr>
    </w:p>
    <w:p>
      <w:pPr>
        <w:ind w:firstLine="600"/>
        <w:jc w:val="center"/>
        <w:rPr>
          <w:rFonts w:eastAsia="黑体"/>
          <w:sz w:val="30"/>
          <w:szCs w:val="30"/>
        </w:rPr>
      </w:pPr>
    </w:p>
    <w:p>
      <w:pPr>
        <w:ind w:firstLine="600"/>
        <w:jc w:val="center"/>
        <w:rPr>
          <w:rFonts w:eastAsia="黑体"/>
          <w:sz w:val="36"/>
          <w:szCs w:val="36"/>
        </w:rPr>
      </w:pPr>
      <w:r>
        <w:rPr>
          <w:rFonts w:hint="eastAsia" w:eastAsia="黑体"/>
          <w:sz w:val="36"/>
          <w:szCs w:val="36"/>
        </w:rPr>
        <w:t>合作市</w:t>
      </w:r>
      <w:r>
        <w:rPr>
          <w:rFonts w:hint="eastAsia" w:eastAsia="黑体"/>
          <w:sz w:val="36"/>
          <w:szCs w:val="36"/>
          <w:lang w:eastAsia="zh-CN"/>
        </w:rPr>
        <w:t>人民政府</w:t>
      </w:r>
    </w:p>
    <w:p>
      <w:pPr>
        <w:adjustRightInd w:val="0"/>
        <w:snapToGrid w:val="0"/>
        <w:spacing w:line="360" w:lineRule="auto"/>
        <w:ind w:firstLine="600"/>
        <w:jc w:val="center"/>
        <w:rPr>
          <w:rFonts w:eastAsia="黑体"/>
          <w:sz w:val="40"/>
          <w:szCs w:val="40"/>
        </w:rPr>
      </w:pPr>
      <w:r>
        <w:rPr>
          <w:rFonts w:hint="eastAsia" w:eastAsia="黑体"/>
          <w:sz w:val="36"/>
          <w:szCs w:val="36"/>
        </w:rPr>
        <w:t>二</w:t>
      </w:r>
      <w:r>
        <w:rPr>
          <w:rFonts w:hint="eastAsia" w:eastAsia="黑体" w:cs="宋体"/>
          <w:sz w:val="36"/>
          <w:szCs w:val="36"/>
        </w:rPr>
        <w:t>〇</w:t>
      </w:r>
      <w:r>
        <w:rPr>
          <w:rFonts w:hint="eastAsia" w:eastAsia="黑体" w:cs="仿宋_GB2312"/>
          <w:sz w:val="36"/>
          <w:szCs w:val="36"/>
        </w:rPr>
        <w:t>一</w:t>
      </w:r>
      <w:r>
        <w:rPr>
          <w:rFonts w:hint="eastAsia" w:eastAsia="黑体" w:cs="仿宋_GB2312"/>
          <w:sz w:val="36"/>
          <w:szCs w:val="36"/>
          <w:lang w:eastAsia="zh-CN"/>
        </w:rPr>
        <w:t>八</w:t>
      </w:r>
      <w:r>
        <w:rPr>
          <w:rFonts w:hint="eastAsia" w:eastAsia="黑体" w:cs="仿宋_GB2312"/>
          <w:sz w:val="36"/>
          <w:szCs w:val="36"/>
        </w:rPr>
        <w:t>年</w:t>
      </w:r>
      <w:r>
        <w:rPr>
          <w:rFonts w:hint="eastAsia" w:eastAsia="黑体"/>
          <w:sz w:val="36"/>
          <w:szCs w:val="36"/>
          <w:lang w:eastAsia="zh-CN"/>
        </w:rPr>
        <w:t>九</w:t>
      </w:r>
      <w:r>
        <w:rPr>
          <w:rFonts w:hint="eastAsia" w:eastAsia="黑体"/>
          <w:sz w:val="36"/>
          <w:szCs w:val="36"/>
        </w:rPr>
        <w:t>月</w:t>
      </w: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titlePg/>
          <w:docGrid w:type="lines" w:linePitch="381" w:charSpace="0"/>
        </w:sectPr>
      </w:pPr>
    </w:p>
    <w:p>
      <w:pPr>
        <w:adjustRightInd w:val="0"/>
        <w:snapToGrid w:val="0"/>
        <w:spacing w:line="360" w:lineRule="auto"/>
        <w:ind w:firstLine="0" w:firstLineChars="0"/>
        <w:jc w:val="center"/>
        <w:rPr>
          <w:rFonts w:eastAsia="黑体"/>
          <w:sz w:val="30"/>
          <w:szCs w:val="30"/>
        </w:rPr>
      </w:pPr>
      <w:r>
        <w:rPr>
          <w:rFonts w:hint="eastAsia" w:eastAsia="黑体"/>
          <w:sz w:val="30"/>
          <w:szCs w:val="30"/>
        </w:rPr>
        <w:t>目  录</w:t>
      </w:r>
    </w:p>
    <w:p>
      <w:pPr>
        <w:pStyle w:val="10"/>
        <w:tabs>
          <w:tab w:val="right" w:leader="dot" w:pos="8306"/>
        </w:tabs>
        <w:rPr>
          <w:rFonts w:ascii="Times New Roman" w:hAnsi="Times New Roman" w:eastAsia="仿宋" w:cs="Times New Roman"/>
          <w:kern w:val="2"/>
          <w:szCs w:val="24"/>
          <w:lang w:val="en-US" w:eastAsia="zh-CN" w:bidi="ar-SA"/>
        </w:rPr>
      </w:pPr>
      <w:r>
        <w:rPr>
          <w:rFonts w:eastAsia="黑体"/>
          <w:sz w:val="30"/>
          <w:szCs w:val="30"/>
        </w:rPr>
        <w:fldChar w:fldCharType="begin"/>
      </w:r>
      <w:r>
        <w:rPr>
          <w:rFonts w:eastAsia="黑体"/>
          <w:sz w:val="30"/>
          <w:szCs w:val="30"/>
        </w:rPr>
        <w:instrText xml:space="preserve"> </w:instrText>
      </w:r>
      <w:r>
        <w:rPr>
          <w:rFonts w:hint="eastAsia" w:eastAsia="黑体"/>
          <w:sz w:val="30"/>
          <w:szCs w:val="30"/>
        </w:rPr>
        <w:instrText xml:space="preserve">TOC \o "1-2" \h \z \u</w:instrText>
      </w:r>
      <w:r>
        <w:rPr>
          <w:rFonts w:eastAsia="黑体"/>
          <w:sz w:val="30"/>
          <w:szCs w:val="30"/>
        </w:rPr>
        <w:instrText xml:space="preserve"> </w:instrText>
      </w:r>
      <w:r>
        <w:rPr>
          <w:rFonts w:eastAsia="黑体"/>
          <w:sz w:val="30"/>
          <w:szCs w:val="30"/>
        </w:rPr>
        <w:fldChar w:fldCharType="separate"/>
      </w: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_Toc24470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前  言</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_Toc24470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_Toc14649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一、总体要求</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_Toc14649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_Toc1911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（一）规划指导思想</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_Toc1911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_Toc17725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（二）规划原则</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_Toc17725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_Toc9374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（三）规划范围</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_Toc9374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_Toc17871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（四）规划年限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_Toc17871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_Toc18414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（五）规划依据</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_Toc18414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_Toc25966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二、现状分析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_Toc25966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_Toc25218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（一）规划区域概况</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_Toc25218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_Toc26362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（二）基础数据调查</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_Toc26362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_Toc12585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（三）调查结果分析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_Toc12585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_Toc11207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highlight w:val="none"/>
          <w:lang w:val="en-US" w:eastAsia="zh-CN" w:bidi="ar-SA"/>
        </w:rPr>
        <w:t>（四）低效用地存在的主要问题</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_Toc11207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18</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_Toc20638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三、潜力分析</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_Toc20638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19</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_Toc885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（一）理论潜力</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_Toc885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19</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_Toc10380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（二）可实现潜力</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_Toc10380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_Toc23400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四、规划优化</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_Toc23400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_Toc2972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（一）规划目标</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_Toc2972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_Toc21266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（二）空间布局，结构优化。</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_Toc21266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26</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_Toc7465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五、时序安排</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_Toc7465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27</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_Toc9066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六、资本筹措与利益调整</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_Toc9066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29</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_Toc20806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（一）资本筹措</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_Toc20806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29</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_Toc31559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（二）利益调整</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_Toc31559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30</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_Toc16951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七、效益评估</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_Toc16951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_Toc16254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（一）完善城市职能，提升人居环境</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_Toc16254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_Toc11928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（二）增加住房供应，缓解住房压力</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_Toc11928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_Toc21738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（三）完善基础设施配套，增加城市绿地面积</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_Toc21738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31</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_Toc19903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八、保障措施</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_Toc19903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_Toc3024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（一）成立工作小组，统筹协调</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_Toc3024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_Toc21530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（二）提高审查报批效率，强化实施管理</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_Toc21530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1"/>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_Toc16185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（三）加强宣传引导，严守纪律</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_Toc16185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32</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pStyle w:val="10"/>
        <w:tabs>
          <w:tab w:val="right" w:leader="dot" w:pos="8306"/>
        </w:tabs>
        <w:rPr>
          <w:rFonts w:ascii="Times New Roman" w:hAnsi="Times New Roman" w:eastAsia="仿宋" w:cs="Times New Roman"/>
          <w:kern w:val="2"/>
          <w:szCs w:val="24"/>
          <w:lang w:val="en-US" w:eastAsia="zh-CN" w:bidi="ar-SA"/>
        </w:rPr>
      </w:pPr>
      <w:r>
        <w:rPr>
          <w:rFonts w:ascii="Times New Roman" w:hAnsi="Times New Roman" w:eastAsia="黑体" w:cs="Times New Roman"/>
          <w:kern w:val="2"/>
          <w:szCs w:val="30"/>
          <w:lang w:val="en-US" w:eastAsia="zh-CN" w:bidi="ar-SA"/>
        </w:rPr>
        <w:fldChar w:fldCharType="begin"/>
      </w:r>
      <w:r>
        <w:rPr>
          <w:rFonts w:ascii="Times New Roman" w:hAnsi="Times New Roman" w:eastAsia="黑体" w:cs="Times New Roman"/>
          <w:kern w:val="2"/>
          <w:szCs w:val="30"/>
          <w:lang w:val="en-US" w:eastAsia="zh-CN" w:bidi="ar-SA"/>
        </w:rPr>
        <w:instrText xml:space="preserve"> HYPERLINK \l _Toc3993 </w:instrText>
      </w:r>
      <w:r>
        <w:rPr>
          <w:rFonts w:ascii="Times New Roman" w:hAnsi="Times New Roman" w:eastAsia="黑体" w:cs="Times New Roman"/>
          <w:kern w:val="2"/>
          <w:szCs w:val="30"/>
          <w:lang w:val="en-US" w:eastAsia="zh-CN" w:bidi="ar-SA"/>
        </w:rPr>
        <w:fldChar w:fldCharType="separate"/>
      </w:r>
      <w:r>
        <w:rPr>
          <w:rFonts w:hint="eastAsia" w:ascii="Times New Roman" w:hAnsi="Times New Roman" w:eastAsia="仿宋" w:cs="Times New Roman"/>
          <w:kern w:val="2"/>
          <w:szCs w:val="24"/>
          <w:lang w:val="en-US" w:eastAsia="zh-CN" w:bidi="ar-SA"/>
        </w:rPr>
        <w:t>附表：</w:t>
      </w:r>
      <w:r>
        <w:rPr>
          <w:rFonts w:ascii="Times New Roman" w:hAnsi="Times New Roman" w:eastAsia="仿宋" w:cs="Times New Roman"/>
          <w:kern w:val="2"/>
          <w:szCs w:val="24"/>
          <w:lang w:val="en-US" w:eastAsia="zh-CN" w:bidi="ar-SA"/>
        </w:rPr>
        <w:tab/>
      </w:r>
      <w:r>
        <w:rPr>
          <w:rFonts w:ascii="Times New Roman" w:hAnsi="Times New Roman" w:eastAsia="仿宋" w:cs="Times New Roman"/>
          <w:kern w:val="2"/>
          <w:szCs w:val="24"/>
          <w:lang w:val="en-US" w:eastAsia="zh-CN" w:bidi="ar-SA"/>
        </w:rPr>
        <w:fldChar w:fldCharType="begin"/>
      </w:r>
      <w:r>
        <w:rPr>
          <w:rFonts w:ascii="Times New Roman" w:hAnsi="Times New Roman" w:eastAsia="仿宋" w:cs="Times New Roman"/>
          <w:kern w:val="2"/>
          <w:szCs w:val="24"/>
          <w:lang w:val="en-US" w:eastAsia="zh-CN" w:bidi="ar-SA"/>
        </w:rPr>
        <w:instrText xml:space="preserve"> PAGEREF _Toc3993 </w:instrText>
      </w:r>
      <w:r>
        <w:rPr>
          <w:rFonts w:ascii="Times New Roman" w:hAnsi="Times New Roman" w:eastAsia="仿宋" w:cs="Times New Roman"/>
          <w:kern w:val="2"/>
          <w:szCs w:val="24"/>
          <w:lang w:val="en-US" w:eastAsia="zh-CN" w:bidi="ar-SA"/>
        </w:rPr>
        <w:fldChar w:fldCharType="separate"/>
      </w:r>
      <w:r>
        <w:rPr>
          <w:rFonts w:ascii="Times New Roman" w:hAnsi="Times New Roman" w:eastAsia="仿宋" w:cs="Times New Roman"/>
          <w:kern w:val="2"/>
          <w:szCs w:val="24"/>
          <w:lang w:val="en-US" w:eastAsia="zh-CN" w:bidi="ar-SA"/>
        </w:rPr>
        <w:t>34</w:t>
      </w:r>
      <w:r>
        <w:rPr>
          <w:rFonts w:ascii="Times New Roman" w:hAnsi="Times New Roman" w:eastAsia="仿宋" w:cs="Times New Roman"/>
          <w:kern w:val="2"/>
          <w:szCs w:val="24"/>
          <w:lang w:val="en-US" w:eastAsia="zh-CN" w:bidi="ar-SA"/>
        </w:rPr>
        <w:fldChar w:fldCharType="end"/>
      </w:r>
      <w:r>
        <w:rPr>
          <w:rFonts w:ascii="Times New Roman" w:hAnsi="Times New Roman" w:eastAsia="黑体" w:cs="Times New Roman"/>
          <w:kern w:val="2"/>
          <w:szCs w:val="30"/>
          <w:lang w:val="en-US" w:eastAsia="zh-CN" w:bidi="ar-SA"/>
        </w:rPr>
        <w:fldChar w:fldCharType="end"/>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60"/>
        <w:jc w:val="center"/>
        <w:textAlignment w:val="auto"/>
        <w:outlineLvl w:val="9"/>
        <w:rPr>
          <w:rFonts w:eastAsia="黑体"/>
          <w:sz w:val="30"/>
          <w:szCs w:val="30"/>
        </w:rPr>
      </w:pPr>
      <w:r>
        <w:rPr>
          <w:rFonts w:ascii="Times New Roman" w:hAnsi="Times New Roman" w:eastAsia="黑体" w:cs="Times New Roman"/>
          <w:kern w:val="2"/>
          <w:szCs w:val="30"/>
          <w:lang w:val="en-US" w:eastAsia="zh-CN" w:bidi="ar-SA"/>
        </w:rPr>
        <w:fldChar w:fldCharType="end"/>
      </w: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pPr>
    </w:p>
    <w:p>
      <w:pPr>
        <w:adjustRightInd w:val="0"/>
        <w:snapToGrid w:val="0"/>
        <w:spacing w:line="360" w:lineRule="auto"/>
        <w:ind w:firstLine="600"/>
        <w:jc w:val="center"/>
        <w:rPr>
          <w:rFonts w:eastAsia="黑体"/>
          <w:sz w:val="30"/>
          <w:szCs w:val="30"/>
        </w:rPr>
        <w:sectPr>
          <w:footerReference r:id="rId9" w:type="default"/>
          <w:pgSz w:w="11906" w:h="16838"/>
          <w:pgMar w:top="1440" w:right="1800" w:bottom="1440" w:left="1800" w:header="851" w:footer="992" w:gutter="0"/>
          <w:pgNumType w:fmt="upperRoman" w:start="1"/>
          <w:cols w:space="720" w:num="1"/>
          <w:docGrid w:type="lines" w:linePitch="312" w:charSpace="0"/>
        </w:sectPr>
      </w:pPr>
    </w:p>
    <w:p>
      <w:pPr>
        <w:pStyle w:val="2"/>
        <w:jc w:val="center"/>
      </w:pPr>
      <w:bookmarkStart w:id="0" w:name="_Toc24470"/>
      <w:bookmarkStart w:id="1" w:name="_Toc3632"/>
      <w:bookmarkStart w:id="2" w:name="_Toc27194"/>
      <w:bookmarkStart w:id="3" w:name="_Toc27070"/>
      <w:r>
        <w:rPr>
          <w:rFonts w:hint="eastAsia"/>
        </w:rPr>
        <w:t>前  言</w:t>
      </w:r>
      <w:bookmarkEnd w:id="0"/>
      <w:bookmarkEnd w:id="1"/>
      <w:bookmarkEnd w:id="2"/>
      <w:bookmarkEnd w:id="3"/>
    </w:p>
    <w:p>
      <w:pPr>
        <w:ind w:firstLine="560"/>
        <w:rPr>
          <w:rFonts w:hint="eastAsia"/>
          <w:lang w:eastAsia="zh-CN"/>
        </w:rPr>
      </w:pPr>
      <w:r>
        <w:rPr>
          <w:rFonts w:hint="eastAsia"/>
          <w:lang w:eastAsia="zh-CN"/>
        </w:rPr>
        <w:t>为贯彻党的十九大提出的全面建成小康社会的各项要求，统筹推进“五位一体”总体布局，协调推进“四个全面”的战略布局，按照党中央、国务院决策部署，牢固树立创新、协调、绿色、开放、共享的发展理念，推进供给侧结构性改革，坚持最严的耕地保护制度和最严格的节约用地制度，坚持以人为本，促进新型城镇化发展，鼓励土地权利人自主改造开发，鼓励社会资本进入，规范推进城镇低效用地再开发，促进城镇更新改造和产业全面升级，优化土地利用结构，提升城镇建设用地人口，产业承载能力，建设和谐宜居城镇。</w:t>
      </w:r>
    </w:p>
    <w:p>
      <w:pPr>
        <w:ind w:firstLine="560"/>
        <w:rPr>
          <w:rFonts w:hint="eastAsia"/>
        </w:rPr>
      </w:pPr>
      <w:r>
        <w:rPr>
          <w:rFonts w:hint="eastAsia"/>
          <w:lang w:eastAsia="zh-CN"/>
        </w:rPr>
        <w:t>城镇低效用地指，经第二次全国土地调查已确定为建设用地中的权属清晰、不存在争议和法律纠纷，但布局散乱、利用粗放、用途不合理、建筑危旧的存量建设用地。</w:t>
      </w:r>
      <w:r>
        <w:rPr>
          <w:rFonts w:hint="eastAsia"/>
        </w:rPr>
        <w:t>随着城市化的发展，建设用地供给和需求之间的矛盾日益激化，土地节约集约利用对于提高土地利用效率、有效保护耕地资源和促进经济社会可持续发展具有重大而深远的意义。</w:t>
      </w:r>
    </w:p>
    <w:p>
      <w:pPr>
        <w:ind w:firstLine="560"/>
      </w:pPr>
      <w:r>
        <w:rPr>
          <w:rFonts w:hint="eastAsia"/>
          <w:lang w:eastAsia="zh-CN"/>
        </w:rPr>
        <w:t>现按甘南藏族自治州国土资源局转发《关于深入推进城镇低效用地再开发的指导意见（试行）》的通知，编制《合作市城镇低效用地再开发专项规划》，为未来合作市的低效用地再开发工作指明方向，为缓解人地矛盾、规范存量土地再利用的运行机制提出具有可操作性的指导建议。</w:t>
      </w:r>
    </w:p>
    <w:p>
      <w:pPr>
        <w:ind w:firstLine="560"/>
      </w:pPr>
    </w:p>
    <w:p>
      <w:pPr>
        <w:ind w:firstLine="560"/>
        <w:sectPr>
          <w:headerReference r:id="rId10" w:type="default"/>
          <w:footerReference r:id="rId11" w:type="default"/>
          <w:pgSz w:w="11906" w:h="16838"/>
          <w:pgMar w:top="1440" w:right="1800" w:bottom="1440" w:left="1800" w:header="851" w:footer="992" w:gutter="0"/>
          <w:pgNumType w:start="1"/>
          <w:cols w:space="720" w:num="1"/>
          <w:docGrid w:type="lines" w:linePitch="312" w:charSpace="0"/>
        </w:sectPr>
      </w:pPr>
    </w:p>
    <w:p>
      <w:pPr>
        <w:pStyle w:val="2"/>
        <w:rPr>
          <w:rFonts w:hint="eastAsia"/>
          <w:lang w:eastAsia="zh-CN"/>
        </w:rPr>
      </w:pPr>
      <w:bookmarkStart w:id="4" w:name="_Toc14649"/>
      <w:bookmarkStart w:id="5" w:name="_Toc9833"/>
      <w:r>
        <w:rPr>
          <w:rFonts w:hint="eastAsia"/>
          <w:lang w:eastAsia="zh-CN"/>
        </w:rPr>
        <w:t>一、总体要求</w:t>
      </w:r>
      <w:bookmarkEnd w:id="4"/>
    </w:p>
    <w:p>
      <w:pPr>
        <w:pStyle w:val="3"/>
        <w:rPr>
          <w:rFonts w:hint="eastAsia"/>
          <w:lang w:eastAsia="zh-CN"/>
        </w:rPr>
      </w:pPr>
      <w:bookmarkStart w:id="6" w:name="_Toc1911"/>
      <w:r>
        <w:rPr>
          <w:rFonts w:hint="eastAsia"/>
          <w:lang w:eastAsia="zh-CN"/>
        </w:rPr>
        <w:t>（一）规划指导思想</w:t>
      </w:r>
      <w:bookmarkEnd w:id="6"/>
    </w:p>
    <w:p>
      <w:pPr>
        <w:ind w:firstLine="560"/>
        <w:rPr>
          <w:rFonts w:hint="eastAsia" w:eastAsia="仿宋"/>
          <w:lang w:eastAsia="zh-CN"/>
        </w:rPr>
      </w:pPr>
      <w:r>
        <w:rPr>
          <w:rFonts w:hint="eastAsia"/>
          <w:lang w:eastAsia="zh-CN"/>
        </w:rPr>
        <w:t>规划编制以习近平新时代中国特色社会主义思想为指导，贯彻落实党的十九大提出的全面建成小康社会各项要求，统筹推进“五位一体”总体布局，协调推进“四个全面”布局，推动实施乡村振兴、区域协调发展、可持续发展战略。坚持以人民为中心，坚持把人民对美好生活的向往作为奋斗目标，以人为本，促进新型城镇化发展；坚持绿色发展，转变发展方式，提升发展质量，改善生态环境，建设美丽中国；坚持市场化导向，鼓励土地权利人自主开发，鼓励社会资本积极进入，促进城镇更新改造和产业转型升级，提升建设用地人口、产业承载能力，建设和谐宜居城镇。</w:t>
      </w:r>
    </w:p>
    <w:p>
      <w:pPr>
        <w:pStyle w:val="3"/>
        <w:rPr>
          <w:rFonts w:hint="eastAsia" w:eastAsia="仿宋"/>
          <w:lang w:eastAsia="zh-CN"/>
        </w:rPr>
      </w:pPr>
      <w:bookmarkStart w:id="7" w:name="_Toc17725"/>
      <w:r>
        <w:rPr>
          <w:rFonts w:hint="eastAsia"/>
          <w:lang w:eastAsia="zh-CN"/>
        </w:rPr>
        <w:t>（二）规划原则</w:t>
      </w:r>
      <w:bookmarkEnd w:id="7"/>
    </w:p>
    <w:p>
      <w:pPr>
        <w:ind w:firstLine="560"/>
        <w:rPr>
          <w:rFonts w:hint="eastAsia"/>
          <w:lang w:eastAsia="zh-CN"/>
        </w:rPr>
      </w:pPr>
      <w:r>
        <w:rPr>
          <w:rFonts w:hint="eastAsia"/>
          <w:lang w:eastAsia="zh-CN"/>
        </w:rPr>
        <w:t>城镇低效用地再开发应与地方城市更新、增减挂钩等工作有效衔接，坚持以下原则：</w:t>
      </w:r>
    </w:p>
    <w:p>
      <w:pPr>
        <w:pStyle w:val="4"/>
        <w:rPr>
          <w:rFonts w:hint="eastAsia"/>
          <w:lang w:val="en-US" w:eastAsia="zh-CN"/>
        </w:rPr>
      </w:pPr>
      <w:r>
        <w:rPr>
          <w:rFonts w:hint="eastAsia"/>
          <w:lang w:val="en-US" w:eastAsia="zh-CN"/>
        </w:rPr>
        <w:t>1、以人为本，和谐发展</w:t>
      </w:r>
    </w:p>
    <w:p>
      <w:pPr>
        <w:rPr>
          <w:rFonts w:hint="eastAsia"/>
          <w:lang w:val="en-US" w:eastAsia="zh-CN"/>
        </w:rPr>
      </w:pPr>
      <w:r>
        <w:rPr>
          <w:rFonts w:hint="eastAsia"/>
          <w:lang w:eastAsia="zh-CN"/>
        </w:rPr>
        <w:t>城镇低效用地再开发应以优化人居环境、提高生活质量、提升城市品位、完善城市功能、保护历史风貌为目的，以保障和促进科学发展为主线，充分考虑人民利益，促进经济社会事业又好又快发展。</w:t>
      </w:r>
    </w:p>
    <w:p>
      <w:pPr>
        <w:pStyle w:val="4"/>
        <w:rPr>
          <w:rFonts w:hint="eastAsia"/>
          <w:lang w:val="en-US" w:eastAsia="zh-CN"/>
        </w:rPr>
      </w:pPr>
      <w:r>
        <w:rPr>
          <w:rFonts w:hint="eastAsia"/>
          <w:lang w:val="en-US" w:eastAsia="zh-CN"/>
        </w:rPr>
        <w:t>2、依法依规，实事求是</w:t>
      </w:r>
    </w:p>
    <w:p>
      <w:pPr>
        <w:ind w:firstLine="560"/>
        <w:rPr>
          <w:rFonts w:hint="eastAsia"/>
          <w:lang w:eastAsia="zh-CN"/>
        </w:rPr>
      </w:pPr>
      <w:r>
        <w:rPr>
          <w:rFonts w:hint="eastAsia"/>
          <w:lang w:eastAsia="zh-CN"/>
        </w:rPr>
        <w:t>城镇低效用地再开发必须遵守国家法律法规、部门规章及各项政策，充分考虑所在地的实际需要，遵循自然和社会发展规律，因地制宜制定规划方案和配套政策，科学合理安排城镇低效用地再开发规模、布局和时序。</w:t>
      </w:r>
    </w:p>
    <w:p>
      <w:pPr>
        <w:pStyle w:val="4"/>
        <w:rPr>
          <w:rFonts w:hint="eastAsia"/>
          <w:lang w:val="en-US" w:eastAsia="zh-CN"/>
        </w:rPr>
      </w:pPr>
      <w:r>
        <w:rPr>
          <w:rFonts w:hint="eastAsia"/>
          <w:lang w:val="en-US" w:eastAsia="zh-CN"/>
        </w:rPr>
        <w:t>3、生态优先，保护优先</w:t>
      </w:r>
    </w:p>
    <w:p>
      <w:pPr>
        <w:ind w:firstLine="560"/>
        <w:rPr>
          <w:rFonts w:hint="eastAsia"/>
          <w:lang w:eastAsia="zh-CN"/>
        </w:rPr>
      </w:pPr>
      <w:r>
        <w:rPr>
          <w:rFonts w:hint="eastAsia"/>
          <w:lang w:eastAsia="zh-CN"/>
        </w:rPr>
        <w:t>城镇低效用地再开发应坚持绿色发展，突出红线控制和底线思维，充分考虑地方资源环境承载能力、城市地质环境、国土开发强度，实现对资源开发利用和保护的整体管控，实现对存量空间的挖潜利用。</w:t>
      </w:r>
    </w:p>
    <w:p>
      <w:pPr>
        <w:pStyle w:val="4"/>
        <w:rPr>
          <w:rFonts w:hint="eastAsia"/>
          <w:lang w:val="en-US" w:eastAsia="zh-CN"/>
        </w:rPr>
      </w:pPr>
      <w:r>
        <w:rPr>
          <w:rFonts w:hint="eastAsia"/>
          <w:lang w:val="en-US" w:eastAsia="zh-CN"/>
        </w:rPr>
        <w:t>4、节约优先，布局优先</w:t>
      </w:r>
    </w:p>
    <w:p>
      <w:pPr>
        <w:ind w:firstLine="560"/>
        <w:rPr>
          <w:rFonts w:hint="eastAsia"/>
          <w:lang w:eastAsia="zh-CN"/>
        </w:rPr>
      </w:pPr>
      <w:r>
        <w:rPr>
          <w:rFonts w:hint="eastAsia"/>
          <w:lang w:eastAsia="zh-CN"/>
        </w:rPr>
        <w:t>城镇低效用地再开发必须坚持节约优先，以节约集约用地、优化土地利用结构和布局为手段，形成节约资源和保护环境的空间格局、产业结构、生产方式、生活方式，构建具有地方特色的“三生”空间。</w:t>
      </w:r>
    </w:p>
    <w:p>
      <w:pPr>
        <w:pStyle w:val="4"/>
        <w:rPr>
          <w:rFonts w:hint="eastAsia"/>
          <w:lang w:val="en-US" w:eastAsia="zh-CN"/>
        </w:rPr>
      </w:pPr>
      <w:r>
        <w:rPr>
          <w:rFonts w:hint="eastAsia"/>
          <w:lang w:val="en-US" w:eastAsia="zh-CN"/>
        </w:rPr>
        <w:t>5、区域协调，城乡融合</w:t>
      </w:r>
    </w:p>
    <w:p>
      <w:pPr>
        <w:ind w:firstLine="560"/>
        <w:rPr>
          <w:rFonts w:hint="eastAsia"/>
          <w:lang w:eastAsia="zh-CN"/>
        </w:rPr>
      </w:pPr>
      <w:r>
        <w:rPr>
          <w:rFonts w:hint="eastAsia"/>
          <w:lang w:eastAsia="zh-CN"/>
        </w:rPr>
        <w:t>立足城市全域经济社会发展，统筹考虑城市与周边城市、村庄的功能和发展方向，统筹安排基础设施、公共服务设施、居住、产业、城市绿地等，实现区域、城乡协调发展。</w:t>
      </w:r>
    </w:p>
    <w:p>
      <w:pPr>
        <w:pStyle w:val="4"/>
        <w:rPr>
          <w:rFonts w:hint="eastAsia"/>
          <w:lang w:val="en-US" w:eastAsia="zh-CN"/>
        </w:rPr>
      </w:pPr>
      <w:r>
        <w:rPr>
          <w:rFonts w:hint="eastAsia"/>
          <w:lang w:val="en-US" w:eastAsia="zh-CN"/>
        </w:rPr>
        <w:t>6、公众参与，利益公平</w:t>
      </w:r>
    </w:p>
    <w:p>
      <w:pPr>
        <w:ind w:firstLine="560"/>
        <w:rPr>
          <w:rFonts w:hint="eastAsia"/>
          <w:lang w:eastAsia="zh-CN"/>
        </w:rPr>
      </w:pPr>
      <w:r>
        <w:rPr>
          <w:rFonts w:hint="eastAsia"/>
          <w:lang w:eastAsia="zh-CN"/>
        </w:rPr>
        <w:t>规划应充分尊重土地权利人意愿，切实保障公众知情权、参与权、表达权和监督权；妥善处理好各方主体责、权、利关系，遵循政府指导、市场运作、利益共享、公平公正，保障城市可持续发展。</w:t>
      </w:r>
    </w:p>
    <w:p>
      <w:pPr>
        <w:pStyle w:val="3"/>
        <w:rPr>
          <w:rFonts w:hint="eastAsia"/>
          <w:lang w:eastAsia="zh-CN"/>
        </w:rPr>
      </w:pPr>
      <w:bookmarkStart w:id="8" w:name="_Toc9374"/>
      <w:r>
        <w:rPr>
          <w:rFonts w:hint="eastAsia"/>
          <w:lang w:eastAsia="zh-CN"/>
        </w:rPr>
        <w:t>（三）规划范围</w:t>
      </w:r>
      <w:bookmarkEnd w:id="8"/>
    </w:p>
    <w:p>
      <w:pPr>
        <w:ind w:firstLine="560"/>
        <w:rPr>
          <w:rFonts w:hint="eastAsia"/>
        </w:rPr>
      </w:pPr>
      <w:r>
        <w:rPr>
          <w:rFonts w:hint="eastAsia"/>
        </w:rPr>
        <w:t>规划范围为城镇规划区内，土地利用总体规划确定的城乡建设用地范围</w:t>
      </w:r>
      <w:r>
        <w:rPr>
          <w:rFonts w:hint="eastAsia"/>
          <w:lang w:eastAsia="zh-CN"/>
        </w:rPr>
        <w:t>，本次涉及到的低效用地共计</w:t>
      </w:r>
      <w:r>
        <w:rPr>
          <w:rFonts w:hint="eastAsia"/>
          <w:lang w:val="en-US" w:eastAsia="zh-CN"/>
        </w:rPr>
        <w:t>22.8989公顷</w:t>
      </w:r>
      <w:r>
        <w:rPr>
          <w:rFonts w:hint="eastAsia"/>
        </w:rPr>
        <w:t>。</w:t>
      </w:r>
    </w:p>
    <w:p>
      <w:pPr>
        <w:pStyle w:val="3"/>
        <w:rPr>
          <w:rFonts w:hint="eastAsia"/>
          <w:lang w:eastAsia="zh-CN"/>
        </w:rPr>
      </w:pPr>
      <w:bookmarkStart w:id="9" w:name="_Toc17871"/>
      <w:r>
        <w:rPr>
          <w:rFonts w:hint="eastAsia"/>
          <w:lang w:eastAsia="zh-CN"/>
        </w:rPr>
        <w:t>（四）规划年限</w:t>
      </w:r>
      <w:bookmarkEnd w:id="9"/>
    </w:p>
    <w:p>
      <w:pPr>
        <w:ind w:firstLine="560"/>
        <w:rPr>
          <w:rFonts w:hint="eastAsia"/>
        </w:rPr>
      </w:pPr>
      <w:r>
        <w:rPr>
          <w:rFonts w:hint="eastAsia"/>
        </w:rPr>
        <w:t>通过与《</w:t>
      </w:r>
      <w:r>
        <w:rPr>
          <w:rFonts w:hint="eastAsia"/>
          <w:lang w:eastAsia="zh-CN"/>
        </w:rPr>
        <w:t>合作市</w:t>
      </w:r>
      <w:r>
        <w:rPr>
          <w:rFonts w:hint="eastAsia"/>
        </w:rPr>
        <w:t>土地利用总体规划（</w:t>
      </w:r>
      <w:r>
        <w:rPr>
          <w:rFonts w:hint="eastAsia"/>
          <w:lang w:val="en-US" w:eastAsia="zh-CN"/>
        </w:rPr>
        <w:t>2006-2020</w:t>
      </w:r>
      <w:r>
        <w:rPr>
          <w:rFonts w:hint="eastAsia"/>
        </w:rPr>
        <w:t>）》与《</w:t>
      </w:r>
      <w:r>
        <w:rPr>
          <w:rFonts w:hint="eastAsia"/>
          <w:lang w:eastAsia="zh-CN"/>
        </w:rPr>
        <w:t>合作市中心城区控制性详细规划</w:t>
      </w:r>
      <w:r>
        <w:rPr>
          <w:rFonts w:hint="eastAsia"/>
        </w:rPr>
        <w:t>》充分衔接，确定本次规划期限为</w:t>
      </w:r>
      <w:r>
        <w:rPr>
          <w:rFonts w:hint="eastAsia"/>
          <w:lang w:val="en-US" w:eastAsia="zh-CN"/>
        </w:rPr>
        <w:t>5</w:t>
      </w:r>
      <w:r>
        <w:rPr>
          <w:rFonts w:hint="eastAsia"/>
        </w:rPr>
        <w:t>年</w:t>
      </w:r>
      <w:r>
        <w:rPr>
          <w:rFonts w:hint="eastAsia"/>
          <w:lang w:eastAsia="zh-CN"/>
        </w:rPr>
        <w:t>，</w:t>
      </w:r>
      <w:r>
        <w:rPr>
          <w:rFonts w:hint="eastAsia"/>
          <w:lang w:val="en-US" w:eastAsia="zh-CN"/>
        </w:rPr>
        <w:t>2018-2022年</w:t>
      </w:r>
      <w:r>
        <w:rPr>
          <w:rFonts w:hint="eastAsia"/>
        </w:rPr>
        <w:t>。</w:t>
      </w:r>
    </w:p>
    <w:p>
      <w:pPr>
        <w:pStyle w:val="3"/>
        <w:rPr>
          <w:rFonts w:hint="eastAsia" w:eastAsia="仿宋"/>
          <w:lang w:eastAsia="zh-CN"/>
        </w:rPr>
      </w:pPr>
      <w:bookmarkStart w:id="10" w:name="_Toc18414"/>
      <w:r>
        <w:rPr>
          <w:rFonts w:hint="eastAsia"/>
          <w:lang w:eastAsia="zh-CN"/>
        </w:rPr>
        <w:t>（五）规划依据</w:t>
      </w:r>
      <w:bookmarkEnd w:id="10"/>
    </w:p>
    <w:p>
      <w:pPr>
        <w:ind w:firstLine="560"/>
        <w:rPr>
          <w:rFonts w:hint="eastAsia"/>
        </w:rPr>
      </w:pPr>
      <w:r>
        <w:rPr>
          <w:rFonts w:hint="eastAsia"/>
        </w:rPr>
        <w:t>城镇低效用地再开发规划应依据相关法律法规、制度政策、标准规范以及土地利用总体规划、城乡规划编制。</w:t>
      </w:r>
    </w:p>
    <w:p>
      <w:pPr>
        <w:pStyle w:val="4"/>
        <w:rPr>
          <w:rFonts w:hint="eastAsia"/>
        </w:rPr>
      </w:pPr>
      <w:r>
        <w:rPr>
          <w:rFonts w:hint="eastAsia"/>
          <w:lang w:val="en-US" w:eastAsia="zh-CN"/>
        </w:rPr>
        <w:t>1</w:t>
      </w:r>
      <w:r>
        <w:rPr>
          <w:rFonts w:hint="eastAsia"/>
          <w:lang w:eastAsia="zh-CN"/>
        </w:rPr>
        <w:t>、</w:t>
      </w:r>
      <w:r>
        <w:rPr>
          <w:rFonts w:hint="eastAsia"/>
        </w:rPr>
        <w:t>法律法规</w:t>
      </w:r>
    </w:p>
    <w:p>
      <w:pPr>
        <w:ind w:firstLine="560"/>
        <w:rPr>
          <w:rFonts w:hint="eastAsia"/>
        </w:rPr>
      </w:pPr>
      <w:r>
        <w:rPr>
          <w:rFonts w:hint="eastAsia"/>
        </w:rPr>
        <w:t>（1）《中华人民共和国土地管理法》；</w:t>
      </w:r>
    </w:p>
    <w:p>
      <w:pPr>
        <w:ind w:firstLine="560"/>
        <w:rPr>
          <w:rFonts w:hint="eastAsia"/>
        </w:rPr>
      </w:pPr>
      <w:r>
        <w:rPr>
          <w:rFonts w:hint="eastAsia"/>
        </w:rPr>
        <w:t>（2）《中华人民共和国城乡规划法》；</w:t>
      </w:r>
    </w:p>
    <w:p>
      <w:pPr>
        <w:ind w:firstLine="560"/>
        <w:rPr>
          <w:rFonts w:hint="eastAsia"/>
        </w:rPr>
      </w:pPr>
      <w:r>
        <w:rPr>
          <w:rFonts w:hint="eastAsia"/>
        </w:rPr>
        <w:t>（3）《中华人民共和国环境保护法》；</w:t>
      </w:r>
    </w:p>
    <w:p>
      <w:pPr>
        <w:ind w:firstLine="560"/>
        <w:rPr>
          <w:rFonts w:hint="eastAsia"/>
        </w:rPr>
      </w:pPr>
      <w:r>
        <w:rPr>
          <w:rFonts w:hint="eastAsia"/>
        </w:rPr>
        <w:t>（4）《中华人民共和国土地管理法实施条例》；</w:t>
      </w:r>
    </w:p>
    <w:p>
      <w:pPr>
        <w:ind w:firstLine="560"/>
        <w:rPr>
          <w:rFonts w:hint="eastAsia"/>
        </w:rPr>
      </w:pPr>
      <w:r>
        <w:rPr>
          <w:rFonts w:hint="eastAsia"/>
        </w:rPr>
        <w:t>（5）《中华人民共和国基本农田保护条例》；</w:t>
      </w:r>
    </w:p>
    <w:p>
      <w:pPr>
        <w:ind w:firstLine="560"/>
        <w:rPr>
          <w:rFonts w:hint="eastAsia"/>
        </w:rPr>
      </w:pPr>
      <w:r>
        <w:rPr>
          <w:rFonts w:hint="eastAsia"/>
        </w:rPr>
        <w:t>（6）《中华人民共和国土地复垦条例》。</w:t>
      </w:r>
    </w:p>
    <w:p>
      <w:pPr>
        <w:pStyle w:val="4"/>
        <w:rPr>
          <w:rFonts w:hint="eastAsia"/>
        </w:rPr>
      </w:pPr>
      <w:r>
        <w:rPr>
          <w:rFonts w:hint="eastAsia"/>
          <w:lang w:val="en-US" w:eastAsia="zh-CN"/>
        </w:rPr>
        <w:t>2</w:t>
      </w:r>
      <w:r>
        <w:rPr>
          <w:rFonts w:hint="eastAsia"/>
          <w:lang w:eastAsia="zh-CN"/>
        </w:rPr>
        <w:t>、</w:t>
      </w:r>
      <w:r>
        <w:rPr>
          <w:rFonts w:hint="eastAsia"/>
        </w:rPr>
        <w:t>部门规章及规范性文件</w:t>
      </w:r>
    </w:p>
    <w:p>
      <w:pPr>
        <w:ind w:firstLine="560"/>
        <w:rPr>
          <w:rFonts w:hint="eastAsia"/>
        </w:rPr>
      </w:pPr>
      <w:r>
        <w:rPr>
          <w:rFonts w:hint="eastAsia"/>
        </w:rPr>
        <w:t>（1）《土地利用总体规划管理办法》（国土资源部部令72号）；</w:t>
      </w:r>
    </w:p>
    <w:p>
      <w:pPr>
        <w:ind w:firstLine="560"/>
        <w:rPr>
          <w:rFonts w:hint="eastAsia"/>
        </w:rPr>
      </w:pPr>
      <w:r>
        <w:rPr>
          <w:rFonts w:hint="eastAsia"/>
        </w:rPr>
        <w:t>（2）《关于深入推进城镇低效用地再开发的</w:t>
      </w:r>
      <w:r>
        <w:rPr>
          <w:rFonts w:hint="eastAsia"/>
          <w:lang w:eastAsia="zh-CN"/>
        </w:rPr>
        <w:t>指导</w:t>
      </w:r>
      <w:r>
        <w:rPr>
          <w:rFonts w:hint="eastAsia"/>
        </w:rPr>
        <w:t>意见（试行）》（国土资发[2016]147号）；</w:t>
      </w:r>
    </w:p>
    <w:p>
      <w:pPr>
        <w:ind w:firstLine="560"/>
        <w:rPr>
          <w:rFonts w:hint="eastAsia"/>
        </w:rPr>
      </w:pPr>
      <w:r>
        <w:rPr>
          <w:rFonts w:hint="eastAsia"/>
        </w:rPr>
        <w:t>（3）《节约集约利用土地规定》（国土资源部第61号令）；</w:t>
      </w:r>
    </w:p>
    <w:p>
      <w:pPr>
        <w:ind w:firstLine="560"/>
        <w:rPr>
          <w:rFonts w:hint="eastAsia"/>
          <w:lang w:eastAsia="zh-CN"/>
        </w:rPr>
      </w:pPr>
      <w:r>
        <w:rPr>
          <w:rFonts w:hint="eastAsia"/>
          <w:lang w:eastAsia="zh-CN"/>
        </w:rPr>
        <w:t>（</w:t>
      </w:r>
      <w:r>
        <w:rPr>
          <w:rFonts w:hint="eastAsia"/>
          <w:lang w:val="en-US" w:eastAsia="zh-CN"/>
        </w:rPr>
        <w:t>4</w:t>
      </w:r>
      <w:r>
        <w:rPr>
          <w:rFonts w:hint="eastAsia"/>
          <w:lang w:eastAsia="zh-CN"/>
        </w:rPr>
        <w:t>）《国土资源部办公厅关于印发城镇低效用地再开发规划编制要点的通知》（国土资厅发</w:t>
      </w:r>
      <w:r>
        <w:rPr>
          <w:rFonts w:hint="eastAsia"/>
        </w:rPr>
        <w:t>[201</w:t>
      </w:r>
      <w:r>
        <w:rPr>
          <w:rFonts w:hint="eastAsia"/>
          <w:lang w:val="en-US" w:eastAsia="zh-CN"/>
        </w:rPr>
        <w:t>7</w:t>
      </w:r>
      <w:r>
        <w:rPr>
          <w:rFonts w:hint="eastAsia"/>
        </w:rPr>
        <w:t>]47号</w:t>
      </w:r>
      <w:r>
        <w:rPr>
          <w:rFonts w:hint="eastAsia"/>
          <w:lang w:eastAsia="zh-CN"/>
        </w:rPr>
        <w:t>）</w:t>
      </w:r>
      <w:r>
        <w:rPr>
          <w:rFonts w:hint="eastAsia"/>
        </w:rPr>
        <w:t>；</w:t>
      </w:r>
    </w:p>
    <w:p>
      <w:pPr>
        <w:ind w:firstLine="560"/>
        <w:rPr>
          <w:rFonts w:hint="eastAsia"/>
          <w:lang w:eastAsia="zh-CN"/>
        </w:rPr>
      </w:pPr>
      <w:r>
        <w:rPr>
          <w:rFonts w:hint="eastAsia"/>
          <w:lang w:eastAsia="zh-CN"/>
        </w:rPr>
        <w:t>（</w:t>
      </w:r>
      <w:r>
        <w:rPr>
          <w:rFonts w:hint="eastAsia"/>
          <w:lang w:val="en-US" w:eastAsia="zh-CN"/>
        </w:rPr>
        <w:t>5</w:t>
      </w:r>
      <w:r>
        <w:rPr>
          <w:rFonts w:hint="eastAsia"/>
          <w:lang w:eastAsia="zh-CN"/>
        </w:rPr>
        <w:t>）《甘肃省国土厅关于开展城镇低效用地再开发调查摸底工作的通知（甘国土资利发[2017]37号）》</w:t>
      </w:r>
      <w:r>
        <w:rPr>
          <w:rFonts w:hint="eastAsia"/>
        </w:rPr>
        <w:t>；</w:t>
      </w:r>
    </w:p>
    <w:p>
      <w:pPr>
        <w:ind w:firstLine="560"/>
        <w:rPr>
          <w:rFonts w:hint="eastAsia"/>
          <w:lang w:eastAsia="zh-CN"/>
        </w:rPr>
      </w:pPr>
      <w:r>
        <w:rPr>
          <w:rFonts w:hint="eastAsia"/>
          <w:lang w:eastAsia="zh-CN"/>
        </w:rPr>
        <w:t>（</w:t>
      </w:r>
      <w:r>
        <w:rPr>
          <w:rFonts w:hint="eastAsia"/>
          <w:lang w:val="en-US" w:eastAsia="zh-CN"/>
        </w:rPr>
        <w:t>6</w:t>
      </w:r>
      <w:r>
        <w:rPr>
          <w:rFonts w:hint="eastAsia"/>
          <w:lang w:eastAsia="zh-CN"/>
        </w:rPr>
        <w:t>）《甘南州国土局转发《关于深入推进城镇低效用地再开发的指导意见（试行）》的通知（州国土资耕发[2018]282号）》。</w:t>
      </w:r>
    </w:p>
    <w:p>
      <w:pPr>
        <w:pStyle w:val="4"/>
        <w:rPr>
          <w:rFonts w:hint="eastAsia"/>
        </w:rPr>
      </w:pPr>
      <w:r>
        <w:rPr>
          <w:rFonts w:hint="eastAsia"/>
          <w:lang w:val="en-US" w:eastAsia="zh-CN"/>
        </w:rPr>
        <w:t>3</w:t>
      </w:r>
      <w:r>
        <w:rPr>
          <w:rFonts w:hint="eastAsia"/>
          <w:lang w:eastAsia="zh-CN"/>
        </w:rPr>
        <w:t>、</w:t>
      </w:r>
      <w:r>
        <w:rPr>
          <w:rFonts w:hint="eastAsia"/>
        </w:rPr>
        <w:t>相关</w:t>
      </w:r>
      <w:r>
        <w:rPr>
          <w:rFonts w:hint="eastAsia"/>
          <w:lang w:eastAsia="zh-CN"/>
        </w:rPr>
        <w:t>基础资料</w:t>
      </w:r>
    </w:p>
    <w:p>
      <w:pPr>
        <w:ind w:firstLine="560"/>
        <w:rPr>
          <w:rFonts w:hint="eastAsia"/>
          <w:highlight w:val="none"/>
          <w:lang w:eastAsia="zh-CN"/>
        </w:rPr>
      </w:pPr>
      <w:r>
        <w:rPr>
          <w:rFonts w:hint="eastAsia"/>
          <w:highlight w:val="none"/>
        </w:rPr>
        <w:t>（1）</w:t>
      </w:r>
      <w:r>
        <w:rPr>
          <w:rFonts w:hint="eastAsia"/>
          <w:highlight w:val="none"/>
          <w:lang w:eastAsia="zh-CN"/>
        </w:rPr>
        <w:t>《合作市土地利用总体规划（</w:t>
      </w:r>
      <w:r>
        <w:rPr>
          <w:rFonts w:hint="eastAsia"/>
          <w:highlight w:val="none"/>
          <w:lang w:val="en-US" w:eastAsia="zh-CN"/>
        </w:rPr>
        <w:t>2006-2016</w:t>
      </w:r>
      <w:r>
        <w:rPr>
          <w:rFonts w:hint="eastAsia"/>
          <w:highlight w:val="none"/>
          <w:lang w:eastAsia="zh-CN"/>
        </w:rPr>
        <w:t>）》</w:t>
      </w:r>
      <w:r>
        <w:rPr>
          <w:rFonts w:hint="eastAsia"/>
        </w:rPr>
        <w:t>；</w:t>
      </w:r>
    </w:p>
    <w:p>
      <w:pPr>
        <w:ind w:firstLine="560"/>
        <w:rPr>
          <w:rFonts w:hint="eastAsia"/>
          <w:highlight w:val="none"/>
          <w:lang w:eastAsia="zh-CN"/>
        </w:rPr>
      </w:pPr>
      <w:r>
        <w:rPr>
          <w:rFonts w:hint="eastAsia"/>
          <w:highlight w:val="none"/>
        </w:rPr>
        <w:t>（2）</w:t>
      </w:r>
      <w:r>
        <w:rPr>
          <w:rFonts w:hint="eastAsia"/>
          <w:highlight w:val="none"/>
          <w:lang w:eastAsia="zh-CN"/>
        </w:rPr>
        <w:t>《合作市城市总体规划（2010—2030年）》；</w:t>
      </w:r>
    </w:p>
    <w:p>
      <w:pPr>
        <w:ind w:firstLine="560"/>
        <w:rPr>
          <w:rFonts w:hint="eastAsia"/>
          <w:highlight w:val="none"/>
          <w:lang w:eastAsia="zh-CN"/>
        </w:rPr>
      </w:pPr>
      <w:r>
        <w:rPr>
          <w:rFonts w:hint="eastAsia"/>
          <w:highlight w:val="none"/>
        </w:rPr>
        <w:t>（3）</w:t>
      </w:r>
      <w:r>
        <w:rPr>
          <w:rFonts w:hint="eastAsia"/>
          <w:highlight w:val="none"/>
          <w:lang w:eastAsia="zh-CN"/>
        </w:rPr>
        <w:t>《合作市中心城区控制性详细规划》</w:t>
      </w:r>
      <w:r>
        <w:rPr>
          <w:rFonts w:hint="eastAsia"/>
        </w:rPr>
        <w:t>；</w:t>
      </w:r>
    </w:p>
    <w:p>
      <w:pPr>
        <w:ind w:firstLine="560"/>
        <w:rPr>
          <w:rFonts w:hint="eastAsia"/>
        </w:rPr>
      </w:pPr>
      <w:r>
        <w:rPr>
          <w:rFonts w:hint="eastAsia"/>
          <w:highlight w:val="none"/>
          <w:lang w:eastAsia="zh-CN"/>
        </w:rPr>
        <w:t>（</w:t>
      </w:r>
      <w:r>
        <w:rPr>
          <w:rFonts w:hint="eastAsia"/>
          <w:highlight w:val="none"/>
          <w:lang w:val="en-US" w:eastAsia="zh-CN"/>
        </w:rPr>
        <w:t>4</w:t>
      </w:r>
      <w:r>
        <w:rPr>
          <w:rFonts w:hint="eastAsia"/>
          <w:highlight w:val="none"/>
          <w:lang w:eastAsia="zh-CN"/>
        </w:rPr>
        <w:t>）《合作市2017年度土地变更调查成果》</w:t>
      </w:r>
      <w:r>
        <w:rPr>
          <w:rFonts w:hint="eastAsia"/>
        </w:rPr>
        <w:t>；</w:t>
      </w:r>
    </w:p>
    <w:p>
      <w:pPr>
        <w:ind w:firstLine="560"/>
        <w:rPr>
          <w:rFonts w:hint="eastAsia"/>
          <w:lang w:val="en-US" w:eastAsia="zh-CN"/>
        </w:rPr>
      </w:pPr>
      <w:r>
        <w:rPr>
          <w:rFonts w:hint="eastAsia"/>
          <w:lang w:eastAsia="zh-CN"/>
        </w:rPr>
        <w:t>（</w:t>
      </w:r>
      <w:r>
        <w:rPr>
          <w:rFonts w:hint="eastAsia"/>
          <w:lang w:val="en-US" w:eastAsia="zh-CN"/>
        </w:rPr>
        <w:t>5</w:t>
      </w:r>
      <w:r>
        <w:rPr>
          <w:rFonts w:hint="eastAsia"/>
          <w:lang w:eastAsia="zh-CN"/>
        </w:rPr>
        <w:t>）合作市</w:t>
      </w:r>
      <w:r>
        <w:rPr>
          <w:rFonts w:hint="eastAsia"/>
          <w:lang w:val="en-US" w:eastAsia="zh-CN"/>
        </w:rPr>
        <w:t>2017年土地供应数据；</w:t>
      </w:r>
    </w:p>
    <w:p>
      <w:pPr>
        <w:ind w:firstLine="560"/>
        <w:rPr>
          <w:rFonts w:hint="eastAsia"/>
          <w:lang w:val="en-US" w:eastAsia="zh-CN"/>
        </w:rPr>
      </w:pPr>
      <w:r>
        <w:rPr>
          <w:rFonts w:hint="eastAsia"/>
          <w:lang w:val="en-US" w:eastAsia="zh-CN"/>
        </w:rPr>
        <w:t>（6）《合作市2017年统计年鉴》；</w:t>
      </w:r>
    </w:p>
    <w:p>
      <w:pPr>
        <w:ind w:firstLine="560"/>
        <w:rPr>
          <w:rFonts w:hint="eastAsia"/>
          <w:highlight w:val="none"/>
          <w:lang w:eastAsia="zh-CN"/>
        </w:rPr>
      </w:pPr>
      <w:r>
        <w:rPr>
          <w:rFonts w:hint="eastAsia"/>
          <w:highlight w:val="none"/>
        </w:rPr>
        <w:t>（</w:t>
      </w:r>
      <w:r>
        <w:rPr>
          <w:rFonts w:hint="eastAsia"/>
          <w:highlight w:val="none"/>
          <w:lang w:val="en-US" w:eastAsia="zh-CN"/>
        </w:rPr>
        <w:t>7</w:t>
      </w:r>
      <w:r>
        <w:rPr>
          <w:rFonts w:hint="eastAsia"/>
          <w:highlight w:val="none"/>
        </w:rPr>
        <w:t>）</w:t>
      </w:r>
      <w:r>
        <w:rPr>
          <w:rFonts w:hint="eastAsia"/>
          <w:highlight w:val="none"/>
          <w:lang w:eastAsia="zh-CN"/>
        </w:rPr>
        <w:t>其他相关基础资料。</w:t>
      </w:r>
    </w:p>
    <w:p>
      <w:pPr>
        <w:ind w:firstLine="560"/>
        <w:rPr>
          <w:rFonts w:hint="eastAsia"/>
        </w:rPr>
      </w:pPr>
      <w:r>
        <w:rPr>
          <w:rFonts w:hint="eastAsia"/>
        </w:rPr>
        <w:br w:type="page"/>
      </w:r>
    </w:p>
    <w:p>
      <w:pPr>
        <w:pStyle w:val="2"/>
        <w:rPr>
          <w:rFonts w:hint="eastAsia"/>
          <w:lang w:eastAsia="zh-CN"/>
        </w:rPr>
      </w:pPr>
      <w:bookmarkStart w:id="11" w:name="_Toc25966"/>
      <w:r>
        <w:rPr>
          <w:rFonts w:hint="eastAsia"/>
          <w:lang w:eastAsia="zh-CN"/>
        </w:rPr>
        <w:t>二、现状分析</w:t>
      </w:r>
      <w:bookmarkEnd w:id="11"/>
    </w:p>
    <w:p>
      <w:pPr>
        <w:pStyle w:val="3"/>
      </w:pPr>
      <w:bookmarkStart w:id="12" w:name="_Toc2420"/>
      <w:bookmarkStart w:id="13" w:name="_Toc11414"/>
      <w:r>
        <w:rPr>
          <w:rFonts w:hint="eastAsia"/>
          <w:lang w:val="en-US" w:eastAsia="zh-CN"/>
        </w:rPr>
        <w:t xml:space="preserve"> </w:t>
      </w:r>
      <w:bookmarkStart w:id="14" w:name="_Toc25218"/>
      <w:r>
        <w:rPr>
          <w:rFonts w:hint="eastAsia"/>
        </w:rPr>
        <w:t>（一）</w:t>
      </w:r>
      <w:r>
        <w:rPr>
          <w:rFonts w:hint="eastAsia"/>
          <w:lang w:eastAsia="zh-CN"/>
        </w:rPr>
        <w:t>规划区域</w:t>
      </w:r>
      <w:r>
        <w:rPr>
          <w:rFonts w:hint="eastAsia"/>
        </w:rPr>
        <w:t>概况</w:t>
      </w:r>
      <w:bookmarkEnd w:id="12"/>
      <w:bookmarkEnd w:id="13"/>
      <w:bookmarkEnd w:id="14"/>
    </w:p>
    <w:p>
      <w:pPr>
        <w:ind w:firstLine="560"/>
        <w:rPr>
          <w:highlight w:val="none"/>
        </w:rPr>
      </w:pPr>
      <w:r>
        <w:rPr>
          <w:rFonts w:hint="eastAsia"/>
        </w:rPr>
        <w:t>合作市位于甘肃省西南部，甘南藏族自治州北部，地理坐标东经</w:t>
      </w:r>
      <w:r>
        <w:t>102</w:t>
      </w:r>
      <w:r>
        <w:rPr>
          <w:rFonts w:hint="eastAsia"/>
        </w:rPr>
        <w:t>°</w:t>
      </w:r>
      <w:r>
        <w:t>54'</w:t>
      </w:r>
      <w:r>
        <w:rPr>
          <w:rFonts w:hint="eastAsia"/>
        </w:rPr>
        <w:t>，北纬</w:t>
      </w:r>
      <w:r>
        <w:t>39</w:t>
      </w:r>
      <w:r>
        <w:rPr>
          <w:rFonts w:hint="eastAsia" w:ascii="仿宋" w:hAnsi="仿宋"/>
        </w:rPr>
        <w:t>°</w:t>
      </w:r>
      <w:r>
        <w:t>59'</w:t>
      </w:r>
      <w:r>
        <w:rPr>
          <w:rFonts w:hint="eastAsia"/>
        </w:rPr>
        <w:t>，为青藏高原东南端，甘、青、川三省交界处，是甘南藏族自治州的首府。</w:t>
      </w:r>
    </w:p>
    <w:p>
      <w:pPr>
        <w:pStyle w:val="4"/>
      </w:pPr>
      <w:r>
        <w:rPr>
          <w:rFonts w:hint="eastAsia"/>
        </w:rPr>
        <w:t>1、自然资源</w:t>
      </w:r>
    </w:p>
    <w:p>
      <w:pPr>
        <w:numPr>
          <w:ilvl w:val="255"/>
          <w:numId w:val="0"/>
        </w:numPr>
      </w:pPr>
      <w:r>
        <w:rPr>
          <w:rFonts w:hint="eastAsia"/>
        </w:rPr>
        <w:t>（1）气候条件</w:t>
      </w:r>
    </w:p>
    <w:p>
      <w:pPr>
        <w:ind w:firstLine="560"/>
        <w:rPr>
          <w:lang w:val="zh-CN"/>
        </w:rPr>
      </w:pPr>
      <w:r>
        <w:rPr>
          <w:rFonts w:hint="eastAsia"/>
        </w:rPr>
        <w:t>合作属高原大陆性气候，寒冷温润类型，光照辐射强，热量不足，春秋相连无夏，冬季严寒漫长，气温日差较大，降雨集中，气象灾害频繁。</w:t>
      </w:r>
      <w:r>
        <w:rPr>
          <w:rFonts w:hint="eastAsia"/>
          <w:lang w:val="zh-CN"/>
        </w:rPr>
        <w:t>全年日照时数4343小时，年平均气温2℃。年降雨量545毫米，一般集中在7、8、9三个月。气象灾害主要有干旱、连阴雨、低温、霜冻、冰雹、雪灾等。全年日照充足，太阳能利用率高。</w:t>
      </w:r>
    </w:p>
    <w:p>
      <w:pPr>
        <w:numPr>
          <w:ilvl w:val="0"/>
          <w:numId w:val="1"/>
        </w:numPr>
        <w:ind w:firstLine="0" w:firstLineChars="0"/>
        <w:rPr>
          <w:lang w:val="zh-CN"/>
        </w:rPr>
      </w:pPr>
      <w:r>
        <w:rPr>
          <w:rFonts w:hint="eastAsia"/>
          <w:lang w:val="zh-CN"/>
        </w:rPr>
        <w:t>水资源</w:t>
      </w:r>
    </w:p>
    <w:p>
      <w:pPr>
        <w:ind w:firstLine="560"/>
        <w:rPr>
          <w:lang w:val="zh-CN"/>
        </w:rPr>
      </w:pPr>
      <w:r>
        <w:rPr>
          <w:lang w:val="zh-CN"/>
        </w:rPr>
        <w:t>洮河在勒秀、加茂贡两乡境内平均流量每秒56.6立方米，年径流量17.9亿立方米。已开发利用的水资源6000千瓦。洮河流径落差大，利用水能梯级开发投资成本低，水资源开发潜力大。</w:t>
      </w:r>
    </w:p>
    <w:p>
      <w:pPr>
        <w:ind w:firstLine="0" w:firstLineChars="0"/>
        <w:rPr>
          <w:lang w:val="zh-CN"/>
        </w:rPr>
      </w:pPr>
      <w:r>
        <w:rPr>
          <w:rFonts w:hint="eastAsia"/>
          <w:lang w:val="zh-CN"/>
        </w:rPr>
        <w:t>（</w:t>
      </w:r>
      <w:r>
        <w:rPr>
          <w:rFonts w:hint="eastAsia"/>
          <w:lang w:val="en-US" w:eastAsia="zh-CN"/>
        </w:rPr>
        <w:t>3</w:t>
      </w:r>
      <w:r>
        <w:rPr>
          <w:rFonts w:hint="eastAsia"/>
          <w:lang w:val="zh-CN"/>
        </w:rPr>
        <w:t>）旅游资源</w:t>
      </w:r>
    </w:p>
    <w:p>
      <w:pPr>
        <w:ind w:firstLine="560"/>
      </w:pPr>
      <w:r>
        <w:rPr>
          <w:rFonts w:hint="eastAsia"/>
        </w:rPr>
        <w:t>合作市镶嵌在地势开阔、绿草如茵的甘南草原北部，被誉为“高原明珠”。市境内有安多藏区佛教名刹米拉日巴佛阁、神奇美丽的当周草原、独具青藏高原特色的太子山、风光旖旎的勒秀洮河、天然奇特的岗岔溶洞等众多景观。</w:t>
      </w:r>
    </w:p>
    <w:p>
      <w:pPr>
        <w:ind w:firstLine="560"/>
      </w:pPr>
      <w:r>
        <w:rPr>
          <w:rFonts w:hint="eastAsia"/>
        </w:rPr>
        <w:t>合作市人文景观独特，民俗风情浓郁。全市有合作寺院、岗岔寺院、美武寺院、乔吾塘寺院等13处藏传佛教寺院，50多处佛教密宗静修禅林和泉洞。合作市北郊的合作寺院有米拉日巴佛阁，这是安多地区藏传佛教的名刹之一，属藏族堡式九层楼建筑。传统的晒佛节、插箭节、香浪节、传统民族运动会、香巴拉旅游艺术节等，从不同侧面展示了合作市独特的民俗风情。</w:t>
      </w:r>
    </w:p>
    <w:p>
      <w:pPr>
        <w:ind w:firstLine="560"/>
      </w:pPr>
      <w:r>
        <w:rPr>
          <w:rFonts w:hint="eastAsia"/>
        </w:rPr>
        <w:t>合作集雪山、草地、河流、藏传佛教寺院、藏族民俗和探险胜地于一体，已成为甘南州主要的旅游服务基地、旅游中转站和游客集散地，是兰州经甘南到九寨沟旅游的必经之地。</w:t>
      </w:r>
    </w:p>
    <w:p>
      <w:pPr>
        <w:pStyle w:val="4"/>
        <w:ind w:firstLine="560"/>
      </w:pPr>
      <w:r>
        <w:rPr>
          <w:rFonts w:hint="eastAsia"/>
        </w:rPr>
        <w:t>2、社会经济</w:t>
      </w:r>
    </w:p>
    <w:p>
      <w:pPr>
        <w:ind w:firstLine="0" w:firstLineChars="0"/>
      </w:pPr>
      <w:r>
        <w:rPr>
          <w:rFonts w:hint="eastAsia"/>
        </w:rPr>
        <w:t>（1）生产总值</w:t>
      </w:r>
    </w:p>
    <w:p>
      <w:pPr>
        <w:ind w:firstLine="560"/>
        <w:rPr>
          <w:highlight w:val="none"/>
        </w:rPr>
      </w:pPr>
      <w:r>
        <w:rPr>
          <w:rFonts w:hint="eastAsia"/>
          <w:highlight w:val="none"/>
        </w:rPr>
        <w:t>初步测算，201</w:t>
      </w:r>
      <w:r>
        <w:rPr>
          <w:rFonts w:hint="eastAsia"/>
          <w:highlight w:val="none"/>
          <w:lang w:val="en-US" w:eastAsia="zh-CN"/>
        </w:rPr>
        <w:t>7</w:t>
      </w:r>
      <w:r>
        <w:rPr>
          <w:rFonts w:hint="eastAsia"/>
          <w:highlight w:val="none"/>
        </w:rPr>
        <w:t>年全市实现生产总值390811万元，按可比价计算，比上年增长</w:t>
      </w:r>
      <w:r>
        <w:rPr>
          <w:rFonts w:hint="eastAsia"/>
          <w:highlight w:val="none"/>
          <w:lang w:val="en-US" w:eastAsia="zh-CN"/>
        </w:rPr>
        <w:t>5.7</w:t>
      </w:r>
      <w:r>
        <w:rPr>
          <w:rFonts w:hint="eastAsia"/>
          <w:highlight w:val="none"/>
        </w:rPr>
        <w:t>%。其中：第一产业增加值21636万元，比上年增长4.1%；第二产业增加值68515万元，比上年增长13.4%；第三产业增加值300660万元，比上年增长4%。按常住人口计算，人均生产总值41138元，比上年增长5.1%。三次产业结构由2016年的5.63：18.31：76.06调整为5.53：17.53：76.94。第一产业比重降低0.03个百分点，第二产业比重降低0.81个百分点，第三产业比重上调0.84个百分点。</w:t>
      </w:r>
    </w:p>
    <w:p>
      <w:pPr>
        <w:adjustRightInd w:val="0"/>
        <w:snapToGrid w:val="0"/>
        <w:spacing w:line="360" w:lineRule="auto"/>
        <w:ind w:firstLine="0" w:firstLineChars="0"/>
        <w:jc w:val="center"/>
        <w:rPr>
          <w:rFonts w:eastAsia="黑体" w:cs="黑体"/>
          <w:b/>
          <w:sz w:val="24"/>
          <w:highlight w:val="none"/>
        </w:rPr>
      </w:pPr>
      <w:r>
        <w:rPr>
          <w:rFonts w:hint="eastAsia"/>
          <w:sz w:val="24"/>
          <w:highlight w:val="none"/>
        </w:rPr>
        <w:drawing>
          <wp:inline distT="0" distB="0" distL="114300" distR="114300">
            <wp:extent cx="5342890" cy="2507615"/>
            <wp:effectExtent l="0" t="0" r="10160" b="6985"/>
            <wp:docPr id="1" name="图片 1"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图片1.png图片1"/>
                    <pic:cNvPicPr>
                      <a:picLocks noChangeAspect="1"/>
                    </pic:cNvPicPr>
                  </pic:nvPicPr>
                  <pic:blipFill>
                    <a:blip r:embed="rId13"/>
                    <a:srcRect/>
                    <a:stretch>
                      <a:fillRect/>
                    </a:stretch>
                  </pic:blipFill>
                  <pic:spPr>
                    <a:xfrm>
                      <a:off x="0" y="0"/>
                      <a:ext cx="5342890" cy="2507615"/>
                    </a:xfrm>
                    <a:prstGeom prst="rect">
                      <a:avLst/>
                    </a:prstGeom>
                  </pic:spPr>
                </pic:pic>
              </a:graphicData>
            </a:graphic>
          </wp:inline>
        </w:drawing>
      </w:r>
      <w:r>
        <w:rPr>
          <w:rFonts w:hint="eastAsia"/>
          <w:sz w:val="24"/>
          <w:highlight w:val="none"/>
        </w:rPr>
        <w:t>图1-</w:t>
      </w:r>
      <w:r>
        <w:rPr>
          <w:rFonts w:hint="eastAsia"/>
          <w:sz w:val="24"/>
          <w:highlight w:val="none"/>
          <w:lang w:val="en-US" w:eastAsia="zh-CN"/>
        </w:rPr>
        <w:t>1</w:t>
      </w:r>
      <w:r>
        <w:rPr>
          <w:rFonts w:hint="eastAsia"/>
          <w:sz w:val="24"/>
          <w:highlight w:val="none"/>
        </w:rPr>
        <w:t xml:space="preserve">  20</w:t>
      </w:r>
      <w:r>
        <w:rPr>
          <w:rFonts w:hint="eastAsia"/>
          <w:sz w:val="24"/>
          <w:highlight w:val="none"/>
          <w:lang w:val="en-US" w:eastAsia="zh-CN"/>
        </w:rPr>
        <w:t>13</w:t>
      </w:r>
      <w:r>
        <w:rPr>
          <w:rFonts w:hint="eastAsia"/>
          <w:sz w:val="24"/>
          <w:highlight w:val="none"/>
        </w:rPr>
        <w:t xml:space="preserve"> -201</w:t>
      </w:r>
      <w:r>
        <w:rPr>
          <w:rFonts w:hint="eastAsia"/>
          <w:sz w:val="24"/>
          <w:highlight w:val="none"/>
          <w:lang w:val="en-US" w:eastAsia="zh-CN"/>
        </w:rPr>
        <w:t>7</w:t>
      </w:r>
      <w:r>
        <w:rPr>
          <w:rFonts w:hint="eastAsia"/>
          <w:sz w:val="24"/>
          <w:highlight w:val="none"/>
        </w:rPr>
        <w:t>年合作市地区生产总值与增长速度</w:t>
      </w:r>
    </w:p>
    <w:p>
      <w:pPr>
        <w:ind w:firstLine="560"/>
        <w:rPr>
          <w:rFonts w:eastAsia="仿宋_GB2312"/>
          <w:szCs w:val="28"/>
          <w:highlight w:val="none"/>
        </w:rPr>
      </w:pPr>
      <w:r>
        <w:rPr>
          <w:rFonts w:hint="eastAsia"/>
          <w:szCs w:val="28"/>
          <w:highlight w:val="none"/>
        </w:rPr>
        <w:t>全年完成货物周转量</w:t>
      </w:r>
      <w:r>
        <w:rPr>
          <w:rFonts w:hint="eastAsia"/>
          <w:szCs w:val="28"/>
          <w:highlight w:val="none"/>
          <w:lang w:val="en-US" w:eastAsia="zh-CN"/>
        </w:rPr>
        <w:t>15050</w:t>
      </w:r>
      <w:r>
        <w:rPr>
          <w:rFonts w:hint="eastAsia"/>
          <w:szCs w:val="28"/>
          <w:highlight w:val="none"/>
        </w:rPr>
        <w:t>万吨/公里，比上年增长</w:t>
      </w:r>
      <w:r>
        <w:rPr>
          <w:rFonts w:hint="eastAsia"/>
          <w:szCs w:val="28"/>
          <w:highlight w:val="none"/>
          <w:lang w:val="en-US" w:eastAsia="zh-CN"/>
        </w:rPr>
        <w:t>1.98</w:t>
      </w:r>
      <w:r>
        <w:rPr>
          <w:rFonts w:hint="eastAsia"/>
          <w:szCs w:val="28"/>
          <w:highlight w:val="none"/>
        </w:rPr>
        <w:t>%，旅客周转量14</w:t>
      </w:r>
      <w:r>
        <w:rPr>
          <w:rFonts w:hint="eastAsia"/>
          <w:szCs w:val="28"/>
          <w:highlight w:val="none"/>
          <w:lang w:val="en-US" w:eastAsia="zh-CN"/>
        </w:rPr>
        <w:t>876</w:t>
      </w:r>
      <w:r>
        <w:rPr>
          <w:rFonts w:hint="eastAsia"/>
          <w:szCs w:val="28"/>
          <w:highlight w:val="none"/>
        </w:rPr>
        <w:t>万人/公里，比上年增长</w:t>
      </w:r>
      <w:r>
        <w:rPr>
          <w:rFonts w:hint="eastAsia"/>
          <w:szCs w:val="28"/>
          <w:highlight w:val="none"/>
          <w:lang w:val="en-US" w:eastAsia="zh-CN"/>
        </w:rPr>
        <w:t>3</w:t>
      </w:r>
      <w:r>
        <w:rPr>
          <w:rFonts w:hint="eastAsia"/>
          <w:szCs w:val="28"/>
          <w:highlight w:val="none"/>
        </w:rPr>
        <w:t>%。</w:t>
      </w:r>
      <w:r>
        <w:rPr>
          <w:rFonts w:hint="eastAsia" w:eastAsia="仿宋_GB2312"/>
          <w:szCs w:val="28"/>
          <w:highlight w:val="none"/>
        </w:rPr>
        <w:t>全年接待游客202.6万人次，同比增长10.1%，旅游综合收入10.3亿元，同比增长14.44%。全年完成邮政业务总量3577万元。完成电信、联通、移动业务总量96626万元。</w:t>
      </w:r>
    </w:p>
    <w:p>
      <w:pPr>
        <w:ind w:firstLine="0" w:firstLineChars="0"/>
        <w:rPr>
          <w:highlight w:val="none"/>
        </w:rPr>
      </w:pPr>
      <w:r>
        <w:rPr>
          <w:rFonts w:hint="eastAsia"/>
          <w:highlight w:val="none"/>
        </w:rPr>
        <w:t>（2）固定资产投资</w:t>
      </w:r>
    </w:p>
    <w:p>
      <w:pPr>
        <w:ind w:firstLine="560"/>
        <w:rPr>
          <w:highlight w:val="none"/>
        </w:rPr>
      </w:pPr>
      <w:r>
        <w:rPr>
          <w:rFonts w:hint="eastAsia"/>
          <w:highlight w:val="none"/>
        </w:rPr>
        <w:t>全年完成固定资产投资357933万元，比上年增长4.13%。从三次产业看，投向第一产业的1718万元，比上年下降82.82 %；投向第二产业的51591万元，比上年下降46.9%；投向第三产业的304624万元，比上年增长28.76%。共组织施工项目141个，比上年增长10.2%。</w:t>
      </w:r>
    </w:p>
    <w:p>
      <w:pPr>
        <w:ind w:firstLine="0" w:firstLineChars="0"/>
        <w:rPr>
          <w:rFonts w:hint="eastAsia" w:eastAsia="仿宋"/>
          <w:highlight w:val="none"/>
          <w:lang w:eastAsia="zh-CN"/>
        </w:rPr>
      </w:pPr>
      <w:r>
        <w:rPr>
          <w:rFonts w:hint="eastAsia" w:eastAsia="仿宋"/>
          <w:highlight w:val="none"/>
          <w:lang w:eastAsia="zh-CN"/>
        </w:rPr>
        <w:drawing>
          <wp:inline distT="0" distB="0" distL="114300" distR="114300">
            <wp:extent cx="5273040" cy="2383790"/>
            <wp:effectExtent l="0" t="0" r="3810" b="16510"/>
            <wp:docPr id="2" name="图片 2" descr="C:\Users\Administrator\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图片2.png图片2"/>
                    <pic:cNvPicPr>
                      <a:picLocks noChangeAspect="1"/>
                    </pic:cNvPicPr>
                  </pic:nvPicPr>
                  <pic:blipFill>
                    <a:blip r:embed="rId14"/>
                    <a:srcRect/>
                    <a:stretch>
                      <a:fillRect/>
                    </a:stretch>
                  </pic:blipFill>
                  <pic:spPr>
                    <a:xfrm>
                      <a:off x="0" y="0"/>
                      <a:ext cx="5273040" cy="2383790"/>
                    </a:xfrm>
                    <a:prstGeom prst="rect">
                      <a:avLst/>
                    </a:prstGeom>
                  </pic:spPr>
                </pic:pic>
              </a:graphicData>
            </a:graphic>
          </wp:inline>
        </w:drawing>
      </w:r>
    </w:p>
    <w:p>
      <w:pPr>
        <w:ind w:firstLine="480"/>
        <w:jc w:val="center"/>
        <w:rPr>
          <w:highlight w:val="none"/>
        </w:rPr>
      </w:pPr>
      <w:r>
        <w:rPr>
          <w:rFonts w:hint="eastAsia"/>
          <w:sz w:val="24"/>
          <w:highlight w:val="none"/>
        </w:rPr>
        <w:t>图1-</w:t>
      </w:r>
      <w:r>
        <w:rPr>
          <w:rFonts w:hint="eastAsia"/>
          <w:sz w:val="24"/>
          <w:highlight w:val="none"/>
          <w:lang w:val="en-US" w:eastAsia="zh-CN"/>
        </w:rPr>
        <w:t>2</w:t>
      </w:r>
      <w:r>
        <w:rPr>
          <w:rFonts w:hint="eastAsia"/>
          <w:sz w:val="24"/>
          <w:highlight w:val="none"/>
        </w:rPr>
        <w:t xml:space="preserve">  20</w:t>
      </w:r>
      <w:r>
        <w:rPr>
          <w:rFonts w:hint="eastAsia"/>
          <w:sz w:val="24"/>
          <w:highlight w:val="none"/>
          <w:lang w:val="en-US" w:eastAsia="zh-CN"/>
        </w:rPr>
        <w:t>13</w:t>
      </w:r>
      <w:r>
        <w:rPr>
          <w:rFonts w:hint="eastAsia"/>
          <w:sz w:val="24"/>
          <w:highlight w:val="none"/>
        </w:rPr>
        <w:t>-201</w:t>
      </w:r>
      <w:r>
        <w:rPr>
          <w:rFonts w:hint="eastAsia"/>
          <w:sz w:val="24"/>
          <w:highlight w:val="none"/>
          <w:lang w:val="en-US" w:eastAsia="zh-CN"/>
        </w:rPr>
        <w:t>7</w:t>
      </w:r>
      <w:r>
        <w:rPr>
          <w:rFonts w:hint="eastAsia"/>
          <w:sz w:val="24"/>
          <w:highlight w:val="none"/>
        </w:rPr>
        <w:t>年合作市固定资产投资与增长速度</w:t>
      </w:r>
    </w:p>
    <w:p>
      <w:pPr>
        <w:numPr>
          <w:ilvl w:val="0"/>
          <w:numId w:val="1"/>
        </w:numPr>
        <w:ind w:firstLine="0" w:firstLineChars="0"/>
        <w:rPr>
          <w:rFonts w:hint="eastAsia"/>
          <w:highlight w:val="none"/>
        </w:rPr>
      </w:pPr>
      <w:r>
        <w:rPr>
          <w:rFonts w:hint="eastAsia"/>
          <w:highlight w:val="none"/>
        </w:rPr>
        <w:t>人民生活水平</w:t>
      </w:r>
    </w:p>
    <w:p>
      <w:pPr>
        <w:ind w:firstLine="560"/>
        <w:rPr>
          <w:rFonts w:hint="eastAsia"/>
          <w:highlight w:val="none"/>
        </w:rPr>
      </w:pPr>
      <w:r>
        <w:rPr>
          <w:rFonts w:hint="eastAsia"/>
          <w:highlight w:val="none"/>
        </w:rPr>
        <w:t>全市城镇居民人均可支配收入23149元，比上年增长7.7%;人均消费支出20080元，比上年增6.6%。食品支出占城镇居民家庭人均消费性支出的比重为35.14%，比上年下降0.36个百分点。农牧民人均可支配收入7203元，比上年增长8.7%；人均生活消费支出5906元，比上年增长9.6%；食品支出占农村居民家庭人均消费性支出的比重为42.85%，比上年下降0.35个百分点。</w:t>
      </w:r>
    </w:p>
    <w:p>
      <w:pPr>
        <w:ind w:firstLine="0" w:firstLineChars="0"/>
        <w:jc w:val="center"/>
        <w:rPr>
          <w:rFonts w:hint="eastAsia" w:eastAsia="仿宋"/>
          <w:sz w:val="24"/>
          <w:highlight w:val="none"/>
          <w:lang w:eastAsia="zh-CN"/>
        </w:rPr>
      </w:pPr>
      <w:r>
        <w:rPr>
          <w:rFonts w:hint="eastAsia" w:eastAsia="仿宋"/>
          <w:sz w:val="24"/>
          <w:highlight w:val="none"/>
          <w:lang w:eastAsia="zh-CN"/>
        </w:rPr>
        <w:drawing>
          <wp:inline distT="0" distB="0" distL="114300" distR="114300">
            <wp:extent cx="5168265" cy="2419350"/>
            <wp:effectExtent l="0" t="0" r="13335" b="0"/>
            <wp:docPr id="3" name="图片 3" descr="C:\Users\Administrator\Desktop\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图片3.png图片3"/>
                    <pic:cNvPicPr>
                      <a:picLocks noChangeAspect="1"/>
                    </pic:cNvPicPr>
                  </pic:nvPicPr>
                  <pic:blipFill>
                    <a:blip r:embed="rId15"/>
                    <a:srcRect/>
                    <a:stretch>
                      <a:fillRect/>
                    </a:stretch>
                  </pic:blipFill>
                  <pic:spPr>
                    <a:xfrm>
                      <a:off x="0" y="0"/>
                      <a:ext cx="5168265" cy="2419350"/>
                    </a:xfrm>
                    <a:prstGeom prst="rect">
                      <a:avLst/>
                    </a:prstGeom>
                  </pic:spPr>
                </pic:pic>
              </a:graphicData>
            </a:graphic>
          </wp:inline>
        </w:drawing>
      </w:r>
    </w:p>
    <w:p>
      <w:pPr>
        <w:ind w:firstLine="0" w:firstLineChars="0"/>
        <w:jc w:val="center"/>
        <w:rPr>
          <w:highlight w:val="none"/>
        </w:rPr>
      </w:pPr>
      <w:r>
        <w:rPr>
          <w:rFonts w:hint="eastAsia"/>
          <w:sz w:val="24"/>
          <w:highlight w:val="none"/>
        </w:rPr>
        <w:t>图1-</w:t>
      </w:r>
      <w:r>
        <w:rPr>
          <w:rFonts w:hint="eastAsia"/>
          <w:sz w:val="24"/>
          <w:highlight w:val="none"/>
          <w:lang w:val="en-US" w:eastAsia="zh-CN"/>
        </w:rPr>
        <w:t>3</w:t>
      </w:r>
      <w:r>
        <w:rPr>
          <w:rFonts w:hint="eastAsia"/>
          <w:sz w:val="24"/>
          <w:highlight w:val="none"/>
        </w:rPr>
        <w:t xml:space="preserve">  20</w:t>
      </w:r>
      <w:r>
        <w:rPr>
          <w:rFonts w:hint="eastAsia"/>
          <w:sz w:val="24"/>
          <w:highlight w:val="none"/>
          <w:lang w:val="en-US" w:eastAsia="zh-CN"/>
        </w:rPr>
        <w:t>13</w:t>
      </w:r>
      <w:r>
        <w:rPr>
          <w:rFonts w:hint="eastAsia"/>
          <w:sz w:val="24"/>
          <w:highlight w:val="none"/>
        </w:rPr>
        <w:t xml:space="preserve"> -201</w:t>
      </w:r>
      <w:r>
        <w:rPr>
          <w:rFonts w:hint="eastAsia"/>
          <w:sz w:val="24"/>
          <w:highlight w:val="none"/>
          <w:lang w:val="en-US" w:eastAsia="zh-CN"/>
        </w:rPr>
        <w:t>7</w:t>
      </w:r>
      <w:r>
        <w:rPr>
          <w:rFonts w:hint="eastAsia"/>
          <w:sz w:val="24"/>
          <w:highlight w:val="none"/>
        </w:rPr>
        <w:t>年合作市城镇居民可支配收入与增长速度</w:t>
      </w:r>
    </w:p>
    <w:p>
      <w:pPr>
        <w:ind w:firstLine="0" w:firstLineChars="0"/>
        <w:jc w:val="center"/>
        <w:rPr>
          <w:rFonts w:hint="eastAsia" w:eastAsia="仿宋"/>
          <w:sz w:val="24"/>
          <w:highlight w:val="none"/>
          <w:lang w:eastAsia="zh-CN"/>
        </w:rPr>
      </w:pPr>
      <w:r>
        <w:rPr>
          <w:rFonts w:hint="eastAsia" w:eastAsia="仿宋"/>
          <w:sz w:val="24"/>
          <w:highlight w:val="none"/>
          <w:lang w:eastAsia="zh-CN"/>
        </w:rPr>
        <w:drawing>
          <wp:inline distT="0" distB="0" distL="114300" distR="114300">
            <wp:extent cx="5273675" cy="2367280"/>
            <wp:effectExtent l="0" t="0" r="3175" b="13970"/>
            <wp:docPr id="4" name="图片 4" descr="C:\Users\Administrator\Desktop\图片4.png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图片4.png图片4"/>
                    <pic:cNvPicPr>
                      <a:picLocks noChangeAspect="1"/>
                    </pic:cNvPicPr>
                  </pic:nvPicPr>
                  <pic:blipFill>
                    <a:blip r:embed="rId16"/>
                    <a:srcRect/>
                    <a:stretch>
                      <a:fillRect/>
                    </a:stretch>
                  </pic:blipFill>
                  <pic:spPr>
                    <a:xfrm>
                      <a:off x="0" y="0"/>
                      <a:ext cx="5273675" cy="2367280"/>
                    </a:xfrm>
                    <a:prstGeom prst="rect">
                      <a:avLst/>
                    </a:prstGeom>
                  </pic:spPr>
                </pic:pic>
              </a:graphicData>
            </a:graphic>
          </wp:inline>
        </w:drawing>
      </w:r>
    </w:p>
    <w:p>
      <w:pPr>
        <w:ind w:firstLine="0" w:firstLineChars="0"/>
        <w:jc w:val="center"/>
        <w:rPr>
          <w:highlight w:val="none"/>
        </w:rPr>
      </w:pPr>
      <w:r>
        <w:rPr>
          <w:rFonts w:hint="eastAsia"/>
          <w:sz w:val="24"/>
          <w:highlight w:val="none"/>
        </w:rPr>
        <w:t>图1-</w:t>
      </w:r>
      <w:r>
        <w:rPr>
          <w:rFonts w:hint="eastAsia"/>
          <w:sz w:val="24"/>
          <w:highlight w:val="none"/>
          <w:lang w:val="en-US" w:eastAsia="zh-CN"/>
        </w:rPr>
        <w:t>4</w:t>
      </w:r>
      <w:r>
        <w:rPr>
          <w:rFonts w:hint="eastAsia"/>
          <w:sz w:val="24"/>
          <w:highlight w:val="none"/>
        </w:rPr>
        <w:t xml:space="preserve">  20</w:t>
      </w:r>
      <w:r>
        <w:rPr>
          <w:rFonts w:hint="eastAsia"/>
          <w:sz w:val="24"/>
          <w:highlight w:val="none"/>
          <w:lang w:val="en-US" w:eastAsia="zh-CN"/>
        </w:rPr>
        <w:t>13</w:t>
      </w:r>
      <w:r>
        <w:rPr>
          <w:rFonts w:hint="eastAsia"/>
          <w:sz w:val="24"/>
          <w:highlight w:val="none"/>
        </w:rPr>
        <w:t xml:space="preserve"> -201</w:t>
      </w:r>
      <w:r>
        <w:rPr>
          <w:rFonts w:hint="eastAsia"/>
          <w:sz w:val="24"/>
          <w:highlight w:val="none"/>
          <w:lang w:val="en-US" w:eastAsia="zh-CN"/>
        </w:rPr>
        <w:t>7</w:t>
      </w:r>
      <w:r>
        <w:rPr>
          <w:rFonts w:hint="eastAsia"/>
          <w:sz w:val="24"/>
          <w:highlight w:val="none"/>
        </w:rPr>
        <w:t>年合作市农牧民人均纯收入与增长速度</w:t>
      </w:r>
    </w:p>
    <w:p>
      <w:pPr>
        <w:ind w:firstLine="0" w:firstLineChars="0"/>
        <w:rPr>
          <w:highlight w:val="none"/>
        </w:rPr>
      </w:pPr>
      <w:bookmarkStart w:id="15" w:name="_Toc12383"/>
      <w:bookmarkStart w:id="16" w:name="_Toc21034"/>
      <w:r>
        <w:rPr>
          <w:rFonts w:hint="eastAsia"/>
          <w:highlight w:val="none"/>
        </w:rPr>
        <w:t>（4）区域人口</w:t>
      </w:r>
    </w:p>
    <w:p>
      <w:pPr>
        <w:ind w:firstLine="560"/>
        <w:rPr>
          <w:rFonts w:hint="eastAsia"/>
          <w:highlight w:val="none"/>
          <w:lang w:eastAsia="zh-CN"/>
        </w:rPr>
      </w:pPr>
      <w:r>
        <w:rPr>
          <w:rFonts w:hint="eastAsia"/>
          <w:highlight w:val="none"/>
        </w:rPr>
        <w:t>其下辖佐盖多玛乡、佐盖曼玛乡、卡加道乡、卡加曼乡、勒秀乡、那吾乡、通钦街道、当周街道、坚木克尔街道、伊合昂街道6乡4个街道，包括39个村民委员会、8个社区、249个村民小组。全市有藏、汉、回等18个民族，年末全市常住人口9.50万人，比上年末增加0.11万人，其中：城镇人口5.42万人，增加0.21万人。城镇化率57.10%，比上年提高1.62个百分点。人口自然增长率9.57‰</w:t>
      </w:r>
      <w:r>
        <w:rPr>
          <w:rFonts w:hint="eastAsia"/>
          <w:highlight w:val="none"/>
          <w:lang w:eastAsia="zh-CN"/>
        </w:rPr>
        <w:t>。</w:t>
      </w:r>
    </w:p>
    <w:p>
      <w:pPr>
        <w:pStyle w:val="4"/>
        <w:ind w:firstLine="560"/>
        <w:rPr>
          <w:rFonts w:hint="eastAsia"/>
          <w:lang w:val="zh-CN"/>
        </w:rPr>
      </w:pPr>
      <w:r>
        <w:rPr>
          <w:rFonts w:hint="eastAsia"/>
        </w:rPr>
        <w:t>3</w:t>
      </w:r>
      <w:r>
        <w:rPr>
          <w:rFonts w:hint="eastAsia"/>
          <w:lang w:eastAsia="zh-CN"/>
        </w:rPr>
        <w:t>、</w:t>
      </w:r>
      <w:r>
        <w:rPr>
          <w:rFonts w:hint="eastAsia"/>
          <w:lang w:val="zh-CN"/>
        </w:rPr>
        <w:t>土地利用现状</w:t>
      </w:r>
    </w:p>
    <w:p>
      <w:pPr>
        <w:ind w:firstLine="560"/>
        <w:rPr>
          <w:highlight w:val="none"/>
        </w:rPr>
      </w:pPr>
      <w:r>
        <w:rPr>
          <w:rFonts w:hint="eastAsia"/>
          <w:highlight w:val="none"/>
        </w:rPr>
        <w:t>据201</w:t>
      </w:r>
      <w:r>
        <w:rPr>
          <w:rFonts w:hint="eastAsia"/>
          <w:highlight w:val="none"/>
          <w:lang w:val="en-US" w:eastAsia="zh-CN"/>
        </w:rPr>
        <w:t>7</w:t>
      </w:r>
      <w:r>
        <w:rPr>
          <w:rFonts w:hint="eastAsia"/>
          <w:highlight w:val="none"/>
        </w:rPr>
        <w:t>年土地利用变更调查数据，截止20</w:t>
      </w:r>
      <w:r>
        <w:rPr>
          <w:rFonts w:hint="eastAsia"/>
          <w:highlight w:val="none"/>
          <w:lang w:val="en-US" w:eastAsia="zh-CN"/>
        </w:rPr>
        <w:t>17</w:t>
      </w:r>
      <w:r>
        <w:rPr>
          <w:rFonts w:hint="eastAsia"/>
          <w:highlight w:val="none"/>
        </w:rPr>
        <w:t>年年末，合作市土地总面积209121.69公顷。其中：耕地14</w:t>
      </w:r>
      <w:r>
        <w:rPr>
          <w:rFonts w:hint="eastAsia"/>
          <w:highlight w:val="none"/>
          <w:lang w:val="en-US" w:eastAsia="zh-CN"/>
        </w:rPr>
        <w:t>685.79</w:t>
      </w:r>
      <w:r>
        <w:rPr>
          <w:rFonts w:hint="eastAsia"/>
          <w:highlight w:val="none"/>
        </w:rPr>
        <w:t>公顷、园地</w:t>
      </w:r>
      <w:r>
        <w:rPr>
          <w:rFonts w:hint="eastAsia"/>
          <w:highlight w:val="none"/>
          <w:lang w:val="en-US" w:eastAsia="zh-CN"/>
        </w:rPr>
        <w:t>46.6</w:t>
      </w:r>
      <w:r>
        <w:rPr>
          <w:rFonts w:hint="eastAsia"/>
          <w:highlight w:val="none"/>
        </w:rPr>
        <w:t>公顷、林地2706</w:t>
      </w:r>
      <w:r>
        <w:rPr>
          <w:rFonts w:hint="eastAsia"/>
          <w:highlight w:val="none"/>
          <w:lang w:val="en-US" w:eastAsia="zh-CN"/>
        </w:rPr>
        <w:t>0</w:t>
      </w:r>
      <w:r>
        <w:rPr>
          <w:rFonts w:hint="eastAsia"/>
          <w:highlight w:val="none"/>
        </w:rPr>
        <w:t>.</w:t>
      </w:r>
      <w:r>
        <w:rPr>
          <w:rFonts w:hint="eastAsia"/>
          <w:highlight w:val="none"/>
          <w:lang w:val="en-US" w:eastAsia="zh-CN"/>
        </w:rPr>
        <w:t>84</w:t>
      </w:r>
      <w:r>
        <w:rPr>
          <w:rFonts w:hint="eastAsia"/>
          <w:highlight w:val="none"/>
        </w:rPr>
        <w:t>公顷、草地158</w:t>
      </w:r>
      <w:r>
        <w:rPr>
          <w:rFonts w:hint="eastAsia"/>
          <w:highlight w:val="none"/>
          <w:lang w:val="en-US" w:eastAsia="zh-CN"/>
        </w:rPr>
        <w:t>219</w:t>
      </w:r>
      <w:r>
        <w:rPr>
          <w:rFonts w:hint="eastAsia"/>
          <w:highlight w:val="none"/>
        </w:rPr>
        <w:t>公顷、城镇村及工矿用地2</w:t>
      </w:r>
      <w:r>
        <w:rPr>
          <w:rFonts w:hint="eastAsia"/>
          <w:highlight w:val="none"/>
          <w:lang w:val="en-US" w:eastAsia="zh-CN"/>
        </w:rPr>
        <w:t>284.63</w:t>
      </w:r>
      <w:r>
        <w:rPr>
          <w:rFonts w:hint="eastAsia"/>
          <w:highlight w:val="none"/>
        </w:rPr>
        <w:t>公顷、交通运输用地1</w:t>
      </w:r>
      <w:r>
        <w:rPr>
          <w:rFonts w:hint="eastAsia"/>
          <w:highlight w:val="none"/>
          <w:lang w:val="en-US" w:eastAsia="zh-CN"/>
        </w:rPr>
        <w:t>135.66</w:t>
      </w:r>
      <w:r>
        <w:rPr>
          <w:rFonts w:hint="eastAsia"/>
          <w:highlight w:val="none"/>
        </w:rPr>
        <w:t>公顷、水域及水利设施用地116</w:t>
      </w:r>
      <w:r>
        <w:rPr>
          <w:rFonts w:hint="eastAsia"/>
          <w:highlight w:val="none"/>
          <w:lang w:val="en-US" w:eastAsia="zh-CN"/>
        </w:rPr>
        <w:t>1.73</w:t>
      </w:r>
      <w:r>
        <w:rPr>
          <w:rFonts w:hint="eastAsia"/>
          <w:highlight w:val="none"/>
        </w:rPr>
        <w:t>公顷、其它土地452</w:t>
      </w:r>
      <w:r>
        <w:rPr>
          <w:rFonts w:hint="eastAsia"/>
          <w:highlight w:val="none"/>
          <w:lang w:val="en-US" w:eastAsia="zh-CN"/>
        </w:rPr>
        <w:t>7.41</w:t>
      </w:r>
      <w:r>
        <w:rPr>
          <w:rFonts w:hint="eastAsia"/>
          <w:highlight w:val="none"/>
        </w:rPr>
        <w:t>公顷，分别占土地总面积的7.0</w:t>
      </w:r>
      <w:r>
        <w:rPr>
          <w:rFonts w:hint="eastAsia"/>
          <w:highlight w:val="none"/>
          <w:lang w:val="en-US" w:eastAsia="zh-CN"/>
        </w:rPr>
        <w:t>2</w:t>
      </w:r>
      <w:r>
        <w:rPr>
          <w:rFonts w:hint="eastAsia"/>
          <w:highlight w:val="none"/>
        </w:rPr>
        <w:t>%、0.02%、12.94%、75.</w:t>
      </w:r>
      <w:r>
        <w:rPr>
          <w:rFonts w:hint="eastAsia"/>
          <w:highlight w:val="none"/>
          <w:lang w:val="en-US" w:eastAsia="zh-CN"/>
        </w:rPr>
        <w:t>66</w:t>
      </w:r>
      <w:r>
        <w:rPr>
          <w:rFonts w:hint="eastAsia"/>
          <w:highlight w:val="none"/>
        </w:rPr>
        <w:t>%、1.0</w:t>
      </w:r>
      <w:r>
        <w:rPr>
          <w:rFonts w:hint="eastAsia"/>
          <w:highlight w:val="none"/>
          <w:lang w:val="en-US" w:eastAsia="zh-CN"/>
        </w:rPr>
        <w:t>9</w:t>
      </w:r>
      <w:r>
        <w:rPr>
          <w:rFonts w:hint="eastAsia"/>
          <w:highlight w:val="none"/>
        </w:rPr>
        <w:t>%、0.5</w:t>
      </w:r>
      <w:r>
        <w:rPr>
          <w:rFonts w:hint="eastAsia"/>
          <w:highlight w:val="none"/>
          <w:lang w:val="en-US" w:eastAsia="zh-CN"/>
        </w:rPr>
        <w:t>4</w:t>
      </w:r>
      <w:r>
        <w:rPr>
          <w:rFonts w:hint="eastAsia"/>
          <w:highlight w:val="none"/>
        </w:rPr>
        <w:t>%、0.56%和2.16%。</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highlight w:val="none"/>
        </w:rPr>
      </w:pPr>
      <w:r>
        <w:rPr>
          <w:highlight w:val="none"/>
        </w:rPr>
        <w:drawing>
          <wp:inline distT="0" distB="0" distL="0" distR="0">
            <wp:extent cx="4572000" cy="2743200"/>
            <wp:effectExtent l="4445" t="4445" r="14605" b="14605"/>
            <wp:docPr id="2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before="156" w:beforeLines="50"/>
        <w:ind w:firstLine="0" w:firstLineChars="0"/>
        <w:jc w:val="center"/>
        <w:rPr>
          <w:highlight w:val="none"/>
        </w:rPr>
      </w:pPr>
      <w:r>
        <w:rPr>
          <w:rFonts w:hint="eastAsia"/>
          <w:sz w:val="24"/>
          <w:highlight w:val="none"/>
        </w:rPr>
        <w:t>图1-</w:t>
      </w:r>
      <w:r>
        <w:rPr>
          <w:rFonts w:hint="eastAsia"/>
          <w:sz w:val="24"/>
          <w:highlight w:val="none"/>
          <w:lang w:val="en-US" w:eastAsia="zh-CN"/>
        </w:rPr>
        <w:t>5</w:t>
      </w:r>
      <w:r>
        <w:rPr>
          <w:rFonts w:hint="eastAsia"/>
          <w:sz w:val="24"/>
          <w:highlight w:val="none"/>
        </w:rPr>
        <w:t xml:space="preserve">  20</w:t>
      </w:r>
      <w:r>
        <w:rPr>
          <w:rFonts w:hint="eastAsia"/>
          <w:sz w:val="24"/>
          <w:highlight w:val="none"/>
          <w:lang w:val="en-US" w:eastAsia="zh-CN"/>
        </w:rPr>
        <w:t>17</w:t>
      </w:r>
      <w:r>
        <w:rPr>
          <w:rFonts w:hint="eastAsia"/>
          <w:sz w:val="24"/>
          <w:highlight w:val="none"/>
        </w:rPr>
        <w:t>年合作市土地利用状况结构表</w:t>
      </w:r>
    </w:p>
    <w:p>
      <w:pPr>
        <w:pStyle w:val="3"/>
        <w:rPr>
          <w:rFonts w:hint="eastAsia"/>
          <w:lang w:eastAsia="zh-CN"/>
        </w:rPr>
      </w:pPr>
      <w:bookmarkStart w:id="17" w:name="_Toc26362"/>
      <w:r>
        <w:rPr>
          <w:rFonts w:hint="eastAsia"/>
          <w:lang w:eastAsia="zh-CN"/>
        </w:rPr>
        <w:t>（二）基础数据调查</w:t>
      </w:r>
      <w:bookmarkEnd w:id="17"/>
    </w:p>
    <w:p>
      <w:pPr>
        <w:pStyle w:val="4"/>
        <w:rPr>
          <w:rFonts w:hint="eastAsia"/>
          <w:lang w:val="en-US" w:eastAsia="zh-CN"/>
        </w:rPr>
      </w:pPr>
      <w:r>
        <w:rPr>
          <w:rFonts w:hint="eastAsia"/>
          <w:lang w:val="en-US" w:eastAsia="zh-CN"/>
        </w:rPr>
        <w:t>1、调查范围</w:t>
      </w:r>
    </w:p>
    <w:p>
      <w:pPr>
        <w:ind w:firstLine="560"/>
        <w:rPr>
          <w:rFonts w:hint="eastAsia" w:eastAsia="仿宋"/>
          <w:highlight w:val="none"/>
          <w:lang w:eastAsia="zh-CN"/>
        </w:rPr>
      </w:pPr>
      <w:r>
        <w:rPr>
          <w:rFonts w:hint="eastAsia"/>
          <w:highlight w:val="none"/>
          <w:lang w:eastAsia="zh-CN"/>
        </w:rPr>
        <w:t>本次调查范围采用《合作市土地利用总体规划（</w:t>
      </w:r>
      <w:r>
        <w:rPr>
          <w:rFonts w:hint="eastAsia"/>
          <w:highlight w:val="none"/>
          <w:lang w:val="en-US" w:eastAsia="zh-CN"/>
        </w:rPr>
        <w:t>2006-2020</w:t>
      </w:r>
      <w:r>
        <w:rPr>
          <w:rFonts w:hint="eastAsia"/>
          <w:highlight w:val="none"/>
          <w:lang w:eastAsia="zh-CN"/>
        </w:rPr>
        <w:t>）》划定的城镇扩展边界内的建设用地。</w:t>
      </w:r>
    </w:p>
    <w:p>
      <w:pPr>
        <w:pStyle w:val="4"/>
        <w:rPr>
          <w:rFonts w:hint="eastAsia"/>
          <w:lang w:val="en-US" w:eastAsia="zh-CN"/>
        </w:rPr>
      </w:pPr>
      <w:r>
        <w:rPr>
          <w:rFonts w:hint="eastAsia"/>
          <w:lang w:val="en-US" w:eastAsia="zh-CN"/>
        </w:rPr>
        <w:t>2、调查内容</w:t>
      </w:r>
    </w:p>
    <w:p>
      <w:pPr>
        <w:ind w:firstLine="560"/>
        <w:rPr>
          <w:rFonts w:hint="eastAsia"/>
          <w:highlight w:val="none"/>
          <w:lang w:val="en-US" w:eastAsia="zh-CN"/>
        </w:rPr>
      </w:pPr>
      <w:r>
        <w:rPr>
          <w:rFonts w:hint="eastAsia"/>
          <w:highlight w:val="none"/>
          <w:lang w:val="en-US" w:eastAsia="zh-CN"/>
        </w:rPr>
        <w:t>城镇低效用地是指城镇中布局散乱、设施落后、利用粗放、用途不合理的存量建设用地，包括（1）不符合土地利用总体规划和城市规划、产业发展规划；（2）不符合安全生产和环保要求；（3）为禁止、淘汰、退二进三产业用地；（4）已列入老城区、城中村、棚户区和老工业区等改造计划等四部分内容。</w:t>
      </w:r>
    </w:p>
    <w:p>
      <w:pPr>
        <w:ind w:firstLine="560"/>
        <w:rPr>
          <w:rFonts w:hint="eastAsia"/>
          <w:highlight w:val="none"/>
          <w:lang w:val="en-US" w:eastAsia="zh-CN"/>
        </w:rPr>
      </w:pPr>
      <w:r>
        <w:rPr>
          <w:rFonts w:hint="eastAsia"/>
          <w:highlight w:val="none"/>
          <w:lang w:val="en-US" w:eastAsia="zh-CN"/>
        </w:rPr>
        <w:t>本次主要调查内容有：</w:t>
      </w:r>
    </w:p>
    <w:p>
      <w:pPr>
        <w:numPr>
          <w:ilvl w:val="0"/>
          <w:numId w:val="2"/>
        </w:numPr>
        <w:ind w:firstLine="560"/>
        <w:rPr>
          <w:rFonts w:hint="eastAsia"/>
          <w:highlight w:val="none"/>
          <w:lang w:val="en-US" w:eastAsia="zh-CN"/>
        </w:rPr>
      </w:pPr>
      <w:r>
        <w:rPr>
          <w:rFonts w:hint="eastAsia"/>
          <w:highlight w:val="none"/>
          <w:lang w:val="en-US" w:eastAsia="zh-CN"/>
        </w:rPr>
        <w:t>开发利用状况。包括位置、面积、容积率、建筑密度、投入产出水平、低效用地类型、环境状况、基础设施配套水平、房屋建设情况、承载人口等内容。工业用地外加用水用能情况等。</w:t>
      </w:r>
    </w:p>
    <w:p>
      <w:pPr>
        <w:numPr>
          <w:ilvl w:val="0"/>
          <w:numId w:val="2"/>
        </w:numPr>
        <w:ind w:firstLine="560"/>
        <w:rPr>
          <w:rFonts w:hint="eastAsia"/>
          <w:highlight w:val="none"/>
          <w:lang w:val="en-US" w:eastAsia="zh-CN"/>
        </w:rPr>
      </w:pPr>
      <w:r>
        <w:rPr>
          <w:rFonts w:hint="eastAsia"/>
          <w:highlight w:val="none"/>
          <w:lang w:val="en-US" w:eastAsia="zh-CN"/>
        </w:rPr>
        <w:t>权属信息。包括权利人、权属性质、地类和用地手续等。</w:t>
      </w:r>
    </w:p>
    <w:p>
      <w:pPr>
        <w:numPr>
          <w:ilvl w:val="0"/>
          <w:numId w:val="2"/>
        </w:numPr>
        <w:ind w:firstLine="560"/>
        <w:rPr>
          <w:rFonts w:hint="eastAsia"/>
          <w:highlight w:val="none"/>
          <w:lang w:val="en-US" w:eastAsia="zh-CN"/>
        </w:rPr>
      </w:pPr>
      <w:r>
        <w:rPr>
          <w:rFonts w:hint="eastAsia"/>
          <w:highlight w:val="none"/>
          <w:lang w:val="en-US" w:eastAsia="zh-CN"/>
        </w:rPr>
        <w:t>城市建设规划相关信息。包括规划用途、发展方向、土地利用强度等控制指标。</w:t>
      </w:r>
    </w:p>
    <w:p>
      <w:pPr>
        <w:pStyle w:val="4"/>
        <w:rPr>
          <w:rFonts w:hint="eastAsia"/>
          <w:lang w:val="en-US" w:eastAsia="zh-CN"/>
        </w:rPr>
      </w:pPr>
      <w:r>
        <w:rPr>
          <w:rFonts w:hint="eastAsia"/>
          <w:lang w:val="en-US" w:eastAsia="zh-CN"/>
        </w:rPr>
        <w:t>3、调查步骤</w:t>
      </w:r>
    </w:p>
    <w:p>
      <w:pPr>
        <w:ind w:firstLine="560"/>
        <w:rPr>
          <w:rFonts w:hint="eastAsia"/>
          <w:highlight w:val="none"/>
          <w:lang w:val="en-US" w:eastAsia="zh-CN"/>
        </w:rPr>
      </w:pPr>
      <w:r>
        <w:rPr>
          <w:rFonts w:hint="eastAsia"/>
          <w:highlight w:val="none"/>
          <w:lang w:val="en-US" w:eastAsia="zh-CN"/>
        </w:rPr>
        <w:t>（1）资料收集</w:t>
      </w:r>
    </w:p>
    <w:p>
      <w:pPr>
        <w:ind w:firstLine="560"/>
        <w:rPr>
          <w:rFonts w:hint="eastAsia"/>
          <w:highlight w:val="none"/>
          <w:lang w:val="en-US" w:eastAsia="zh-CN"/>
        </w:rPr>
      </w:pPr>
      <w:r>
        <w:rPr>
          <w:rFonts w:hint="eastAsia"/>
          <w:highlight w:val="none"/>
          <w:lang w:val="en-US" w:eastAsia="zh-CN"/>
        </w:rPr>
        <w:t>充分收集土地利用总体规划成果、土地利用现状变更调查成果、城镇地籍图、遥感影像成果、城区总体规划、控制性详细规划等资料。</w:t>
      </w:r>
    </w:p>
    <w:p>
      <w:pPr>
        <w:ind w:firstLine="560"/>
        <w:rPr>
          <w:rFonts w:hint="eastAsia"/>
          <w:highlight w:val="none"/>
          <w:lang w:val="en-US" w:eastAsia="zh-CN"/>
        </w:rPr>
      </w:pPr>
      <w:r>
        <w:rPr>
          <w:rFonts w:hint="eastAsia"/>
          <w:highlight w:val="none"/>
          <w:lang w:val="en-US" w:eastAsia="zh-CN"/>
        </w:rPr>
        <w:t>（2）内业分析</w:t>
      </w:r>
    </w:p>
    <w:p>
      <w:pPr>
        <w:ind w:firstLine="560"/>
        <w:rPr>
          <w:rFonts w:hint="eastAsia"/>
          <w:highlight w:val="none"/>
          <w:lang w:val="en-US" w:eastAsia="zh-CN"/>
        </w:rPr>
      </w:pPr>
      <w:r>
        <w:rPr>
          <w:rFonts w:hint="eastAsia"/>
          <w:highlight w:val="none"/>
          <w:lang w:val="en-US" w:eastAsia="zh-CN"/>
        </w:rPr>
        <w:t>包括初步确定调查的基本单元；编制工作底图；生成调查表格三个步骤。</w:t>
      </w:r>
    </w:p>
    <w:p>
      <w:pPr>
        <w:rPr>
          <w:rFonts w:hint="eastAsia"/>
          <w:lang w:val="en-US" w:eastAsia="zh-CN"/>
        </w:rPr>
      </w:pPr>
      <w:r>
        <w:rPr>
          <w:rFonts w:hint="eastAsia"/>
          <w:lang w:val="en-US" w:eastAsia="zh-CN"/>
        </w:rPr>
        <w:t>（3）外业调查</w:t>
      </w:r>
    </w:p>
    <w:p>
      <w:pPr>
        <w:rPr>
          <w:rFonts w:hint="eastAsia"/>
          <w:lang w:val="en-US" w:eastAsia="zh-CN"/>
        </w:rPr>
      </w:pPr>
      <w:r>
        <w:rPr>
          <w:rFonts w:hint="eastAsia"/>
          <w:lang w:val="en-US" w:eastAsia="zh-CN"/>
        </w:rPr>
        <w:t>城镇工作范围内以街道办为单位，核对已有信息，查漏补缺，完善调查单元土地利用情况、审批情况、登记情况、权属用途等相关信息。</w:t>
      </w:r>
    </w:p>
    <w:p>
      <w:pPr>
        <w:rPr>
          <w:rFonts w:hint="eastAsia"/>
          <w:lang w:val="en-US" w:eastAsia="zh-CN"/>
        </w:rPr>
      </w:pPr>
      <w:r>
        <w:rPr>
          <w:rFonts w:hint="eastAsia"/>
          <w:lang w:val="en-US" w:eastAsia="zh-CN"/>
        </w:rPr>
        <w:t>（4）编制调查成果</w:t>
      </w:r>
    </w:p>
    <w:p>
      <w:pPr>
        <w:rPr>
          <w:rFonts w:hint="eastAsia"/>
          <w:lang w:val="en-US" w:eastAsia="zh-CN"/>
        </w:rPr>
      </w:pPr>
      <w:r>
        <w:rPr>
          <w:rFonts w:hint="eastAsia"/>
          <w:lang w:val="en-US" w:eastAsia="zh-CN"/>
        </w:rPr>
        <w:t>对调查数据检查核对，无误后汇总编制表格及相关图件。</w:t>
      </w:r>
    </w:p>
    <w:p>
      <w:pPr>
        <w:ind w:firstLine="560"/>
        <w:rPr>
          <w:rFonts w:hint="eastAsia" w:eastAsia="仿宋"/>
          <w:highlight w:val="none"/>
          <w:lang w:eastAsia="zh-CN"/>
        </w:rPr>
      </w:pPr>
      <w:r>
        <w:rPr>
          <w:rFonts w:hint="eastAsia"/>
          <w:highlight w:val="none"/>
          <w:lang w:eastAsia="zh-CN"/>
        </w:rPr>
        <w:t>（</w:t>
      </w:r>
      <w:r>
        <w:rPr>
          <w:rFonts w:hint="eastAsia"/>
          <w:highlight w:val="none"/>
          <w:lang w:val="en-US" w:eastAsia="zh-CN"/>
        </w:rPr>
        <w:t>5</w:t>
      </w:r>
      <w:r>
        <w:rPr>
          <w:rFonts w:hint="eastAsia"/>
          <w:highlight w:val="none"/>
          <w:lang w:eastAsia="zh-CN"/>
        </w:rPr>
        <w:t>）建数据库</w:t>
      </w:r>
    </w:p>
    <w:p>
      <w:pPr>
        <w:ind w:firstLine="560"/>
        <w:rPr>
          <w:rFonts w:hint="eastAsia" w:eastAsia="仿宋"/>
          <w:highlight w:val="none"/>
          <w:lang w:eastAsia="zh-CN"/>
        </w:rPr>
      </w:pPr>
      <w:r>
        <w:rPr>
          <w:rFonts w:hint="eastAsia"/>
          <w:highlight w:val="none"/>
          <w:lang w:eastAsia="zh-CN"/>
        </w:rPr>
        <w:t>按要求构建城镇低效用地数据库，包括低效用地调查区图斑，和低效用地调查单元图斑，按标准要求建字段填入数据。</w:t>
      </w:r>
    </w:p>
    <w:p>
      <w:pPr>
        <w:pStyle w:val="3"/>
        <w:rPr>
          <w:rFonts w:hint="eastAsia"/>
          <w:lang w:eastAsia="zh-CN"/>
        </w:rPr>
      </w:pPr>
      <w:bookmarkStart w:id="18" w:name="_Toc12585"/>
      <w:r>
        <w:rPr>
          <w:rFonts w:hint="eastAsia"/>
          <w:lang w:eastAsia="zh-CN"/>
        </w:rPr>
        <w:t>（三）调查结果分析</w:t>
      </w:r>
      <w:bookmarkEnd w:id="18"/>
    </w:p>
    <w:p>
      <w:pPr>
        <w:pStyle w:val="4"/>
        <w:rPr>
          <w:rFonts w:hint="eastAsia"/>
          <w:lang w:val="en-US" w:eastAsia="zh-CN"/>
        </w:rPr>
      </w:pPr>
      <w:r>
        <w:rPr>
          <w:rFonts w:hint="eastAsia"/>
          <w:lang w:val="en-US" w:eastAsia="zh-CN"/>
        </w:rPr>
        <w:t>1、低效用地规模及其分布</w:t>
      </w:r>
    </w:p>
    <w:p>
      <w:pPr>
        <w:ind w:firstLine="560"/>
        <w:rPr>
          <w:rFonts w:hint="eastAsia"/>
          <w:highlight w:val="none"/>
          <w:lang w:val="en-US" w:eastAsia="zh-CN"/>
        </w:rPr>
      </w:pPr>
      <w:r>
        <w:rPr>
          <w:rFonts w:hint="eastAsia"/>
          <w:highlight w:val="none"/>
          <w:lang w:eastAsia="zh-CN"/>
        </w:rPr>
        <w:t>通过城镇低效用地调查分析，结合实际情况，确定合作市符合低效用地定性定量标准的共有</w:t>
      </w:r>
      <w:r>
        <w:rPr>
          <w:rFonts w:hint="eastAsia"/>
          <w:highlight w:val="none"/>
          <w:lang w:val="en-US" w:eastAsia="zh-CN"/>
        </w:rPr>
        <w:t>25个调查单元，25块宗地。</w:t>
      </w:r>
    </w:p>
    <w:p>
      <w:pPr>
        <w:ind w:firstLine="560"/>
        <w:jc w:val="center"/>
        <w:rPr>
          <w:rFonts w:hint="eastAsia"/>
          <w:b/>
          <w:bCs/>
          <w:highlight w:val="none"/>
          <w:lang w:val="en-US" w:eastAsia="zh-CN"/>
        </w:rPr>
      </w:pPr>
      <w:r>
        <w:rPr>
          <w:rFonts w:hint="eastAsia"/>
          <w:b/>
          <w:bCs/>
          <w:highlight w:val="none"/>
          <w:lang w:val="en-US" w:eastAsia="zh-CN"/>
        </w:rPr>
        <w:t>表3.1 合作市城镇低效用地分布情况表</w:t>
      </w:r>
    </w:p>
    <w:p>
      <w:pPr>
        <w:ind w:firstLine="560"/>
        <w:jc w:val="right"/>
        <w:rPr>
          <w:rFonts w:hint="eastAsia"/>
          <w:b/>
          <w:bCs/>
          <w:sz w:val="21"/>
          <w:szCs w:val="21"/>
          <w:highlight w:val="none"/>
          <w:lang w:val="en-US" w:eastAsia="zh-CN"/>
        </w:rPr>
      </w:pPr>
      <w:r>
        <w:rPr>
          <w:rFonts w:hint="eastAsia"/>
          <w:b/>
          <w:bCs/>
          <w:sz w:val="21"/>
          <w:szCs w:val="21"/>
          <w:highlight w:val="none"/>
          <w:lang w:val="en-US" w:eastAsia="zh-CN"/>
        </w:rPr>
        <w:t>单位：公顷</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29"/>
        <w:gridCol w:w="1575"/>
        <w:gridCol w:w="1383"/>
        <w:gridCol w:w="1539"/>
        <w:gridCol w:w="1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blHeader/>
        </w:trPr>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行政区（乡、街道办）</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旧城镇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旧村庄</w:t>
            </w:r>
          </w:p>
        </w:tc>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旧厂矿</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15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7.4126 </w:t>
            </w:r>
          </w:p>
        </w:tc>
        <w:tc>
          <w:tcPr>
            <w:tcW w:w="138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0.0000 </w:t>
            </w:r>
          </w:p>
        </w:tc>
        <w:tc>
          <w:tcPr>
            <w:tcW w:w="15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0.0000 </w:t>
            </w:r>
          </w:p>
        </w:tc>
        <w:tc>
          <w:tcPr>
            <w:tcW w:w="1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7.4126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15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29.7406 </w:t>
            </w:r>
          </w:p>
        </w:tc>
        <w:tc>
          <w:tcPr>
            <w:tcW w:w="138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0.0000 </w:t>
            </w:r>
          </w:p>
        </w:tc>
        <w:tc>
          <w:tcPr>
            <w:tcW w:w="15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1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30.7748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15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5.1476 </w:t>
            </w:r>
          </w:p>
        </w:tc>
        <w:tc>
          <w:tcPr>
            <w:tcW w:w="138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0.0000 </w:t>
            </w:r>
          </w:p>
        </w:tc>
        <w:tc>
          <w:tcPr>
            <w:tcW w:w="15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0.1816 </w:t>
            </w:r>
          </w:p>
        </w:tc>
        <w:tc>
          <w:tcPr>
            <w:tcW w:w="1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5.3292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15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7.6932 </w:t>
            </w:r>
          </w:p>
        </w:tc>
        <w:tc>
          <w:tcPr>
            <w:tcW w:w="138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0.0000 </w:t>
            </w:r>
          </w:p>
        </w:tc>
        <w:tc>
          <w:tcPr>
            <w:tcW w:w="15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1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8.1486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15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49.9940 </w:t>
            </w:r>
          </w:p>
        </w:tc>
        <w:tc>
          <w:tcPr>
            <w:tcW w:w="138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0.0000 </w:t>
            </w:r>
          </w:p>
        </w:tc>
        <w:tc>
          <w:tcPr>
            <w:tcW w:w="15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1.6712 </w:t>
            </w:r>
          </w:p>
        </w:tc>
        <w:tc>
          <w:tcPr>
            <w:tcW w:w="1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firstLine="200" w:firstLineChars="20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51.6652 </w:t>
            </w:r>
          </w:p>
        </w:tc>
      </w:tr>
    </w:tbl>
    <w:p>
      <w:pPr>
        <w:ind w:firstLine="560"/>
        <w:rPr>
          <w:rFonts w:hint="eastAsia"/>
          <w:highlight w:val="none"/>
          <w:lang w:val="en-US" w:eastAsia="zh-CN"/>
        </w:rPr>
      </w:pPr>
      <w:r>
        <w:rPr>
          <w:rFonts w:hint="eastAsia"/>
          <w:highlight w:val="none"/>
          <w:lang w:val="en-US" w:eastAsia="zh-CN"/>
        </w:rPr>
        <w:t>其中城镇低效用地调查单元内，当周坚街道低效用地共计7.4126公顷，低效用地类型旧城镇7.4126公顷，没有旧村庄及旧厂矿；坚木克尔街道城镇低效用地30.7748公顷，低效用地类型旧城镇29.7406公顷，旧厂矿1.0342公顷，没有旧村庄；通钦街道城镇低效用地5.3292公顷，低效用地类型旧城镇5.1476公顷，旧厂矿0.1816公顷，没有旧村庄；伊合昂街道城镇低效用地8.1486公顷，低效用地类型旧城镇7.6932公顷，没有旧村庄，旧厂矿0.4554公顷。</w:t>
      </w:r>
    </w:p>
    <w:p>
      <w:pPr>
        <w:ind w:firstLine="560"/>
        <w:rPr>
          <w:rFonts w:hint="eastAsia"/>
          <w:highlight w:val="none"/>
          <w:lang w:val="en-US" w:eastAsia="zh-CN"/>
        </w:rPr>
      </w:pPr>
      <w:r>
        <w:rPr>
          <w:rFonts w:hint="eastAsia"/>
          <w:highlight w:val="none"/>
          <w:lang w:val="en-US" w:eastAsia="zh-CN"/>
        </w:rPr>
        <w:t>城镇低效用地类型中旧城镇占比最高，达到了96.76%，没有旧村庄，旧厂矿占比3.24%。经调研分析，合作市建成区中村庄分布集中成片，房屋较新，其中城南城北新村翻新不久，基础设施配套水平较高。城西伊合昂街道所属村镇建成时间较长，但房屋完好，交通便利，基础设施配套水平较高。而且其区位较商服中心较远，拆迁成本与城区相比却差距不大，且较为集中连片总费用高，规划期内不具备挖潜潜力。</w:t>
      </w:r>
    </w:p>
    <w:p>
      <w:pPr>
        <w:ind w:firstLine="560"/>
        <w:rPr>
          <w:rFonts w:hint="eastAsia"/>
          <w:highlight w:val="none"/>
          <w:lang w:val="en-US" w:eastAsia="zh-CN"/>
        </w:rPr>
      </w:pPr>
      <w:r>
        <w:rPr>
          <w:rFonts w:hint="eastAsia"/>
          <w:highlight w:val="none"/>
          <w:lang w:val="en-US" w:eastAsia="zh-CN"/>
        </w:rPr>
        <w:br w:type="page"/>
      </w:r>
    </w:p>
    <w:p>
      <w:pPr>
        <w:pStyle w:val="4"/>
        <w:numPr>
          <w:ilvl w:val="0"/>
          <w:numId w:val="3"/>
        </w:numPr>
        <w:rPr>
          <w:rFonts w:hint="eastAsia"/>
          <w:lang w:val="en-US" w:eastAsia="zh-CN"/>
        </w:rPr>
      </w:pPr>
      <w:r>
        <w:rPr>
          <w:rFonts w:hint="eastAsia"/>
          <w:lang w:val="en-US" w:eastAsia="zh-CN"/>
        </w:rPr>
        <w:t>低效用地人口、容积率、建筑密度及基础设施配套水平</w:t>
      </w:r>
    </w:p>
    <w:p>
      <w:pPr>
        <w:ind w:left="0" w:leftChars="0" w:firstLine="0" w:firstLineChars="0"/>
        <w:jc w:val="center"/>
        <w:rPr>
          <w:rFonts w:hint="eastAsia"/>
          <w:b/>
          <w:bCs/>
          <w:highlight w:val="none"/>
          <w:lang w:val="en-US" w:eastAsia="zh-CN"/>
        </w:rPr>
      </w:pPr>
      <w:r>
        <w:rPr>
          <w:rFonts w:hint="eastAsia"/>
          <w:b/>
          <w:bCs/>
          <w:highlight w:val="none"/>
          <w:lang w:val="en-US" w:eastAsia="zh-CN"/>
        </w:rPr>
        <w:t>表3.2 合作市城镇低效用地基本情况表</w:t>
      </w:r>
    </w:p>
    <w:p>
      <w:pPr>
        <w:widowControl w:val="0"/>
        <w:numPr>
          <w:ilvl w:val="0"/>
          <w:numId w:val="0"/>
        </w:numPr>
        <w:jc w:val="right"/>
        <w:rPr>
          <w:rFonts w:hint="eastAsia"/>
          <w:b/>
          <w:bCs/>
          <w:sz w:val="21"/>
          <w:szCs w:val="21"/>
          <w:lang w:val="en-US" w:eastAsia="zh-CN"/>
        </w:rPr>
      </w:pPr>
      <w:r>
        <w:rPr>
          <w:rFonts w:hint="eastAsia"/>
          <w:b/>
          <w:bCs/>
          <w:sz w:val="21"/>
          <w:szCs w:val="21"/>
          <w:lang w:val="en-US" w:eastAsia="zh-CN"/>
        </w:rPr>
        <w:t>单位：人、公顷</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21"/>
        <w:gridCol w:w="780"/>
        <w:gridCol w:w="930"/>
        <w:gridCol w:w="990"/>
        <w:gridCol w:w="945"/>
        <w:gridCol w:w="540"/>
        <w:gridCol w:w="615"/>
        <w:gridCol w:w="720"/>
        <w:gridCol w:w="885"/>
        <w:gridCol w:w="1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19" w:hRule="atLeast"/>
          <w:tblHeader/>
        </w:trPr>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县（市、区）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人口</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88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基础设施配套情况</w:t>
            </w:r>
          </w:p>
        </w:tc>
        <w:tc>
          <w:tcPr>
            <w:tcW w:w="101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房屋建筑质量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3.6427</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3.6427</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0.33</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0.33</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4.1256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4.1256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519</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0.31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0.31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CNPCSD</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CNPCSD-1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5.8068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5.8068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849</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0.37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4.8386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4.8386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0.35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0.35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4.9700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4.9700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0.30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0.30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170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0.58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192</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0.48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121</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0.28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0.27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0.27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116</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105</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248</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485</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0.39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0.39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0.6709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0.6709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0.20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0.20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1.8981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1.8981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348</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0.46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0.46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SZF-5</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1.9817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1.9817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348</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0.44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0.44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715</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352</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0.38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0.18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ZQXJ</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ZQXJ-1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0.8318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0.8318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w:t>
            </w: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738</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0.42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0.42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324</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118</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0.32 </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0.32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631"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51.6652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51.6652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5768</w:t>
            </w:r>
          </w:p>
        </w:tc>
        <w:tc>
          <w:tcPr>
            <w:tcW w:w="61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7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r>
    </w:tbl>
    <w:p>
      <w:pPr>
        <w:ind w:firstLine="560"/>
        <w:rPr>
          <w:rFonts w:hint="eastAsia"/>
          <w:highlight w:val="none"/>
          <w:lang w:val="en-US" w:eastAsia="zh-CN"/>
        </w:rPr>
      </w:pPr>
      <w:r>
        <w:rPr>
          <w:rFonts w:hint="eastAsia"/>
          <w:highlight w:val="none"/>
          <w:lang w:eastAsia="zh-CN"/>
        </w:rPr>
        <w:t>调查区内居住人口</w:t>
      </w:r>
      <w:r>
        <w:rPr>
          <w:rFonts w:hint="eastAsia"/>
          <w:highlight w:val="none"/>
          <w:lang w:val="en-US" w:eastAsia="zh-CN"/>
        </w:rPr>
        <w:t>5768人，人均用地面积89.57m</w:t>
      </w:r>
      <w:r>
        <w:rPr>
          <w:rFonts w:hint="eastAsia"/>
          <w:highlight w:val="none"/>
          <w:vertAlign w:val="superscript"/>
          <w:lang w:val="en-US" w:eastAsia="zh-CN"/>
        </w:rPr>
        <w:t>2</w:t>
      </w:r>
      <w:r>
        <w:rPr>
          <w:rFonts w:hint="eastAsia"/>
          <w:highlight w:val="none"/>
          <w:lang w:val="en-US" w:eastAsia="zh-CN"/>
        </w:rPr>
        <w:t>，容积率为0.18~0.54之间，其中TYGB-4容积率最小为0.18，其现状为住宅区东北角的一块采矿用地，地类图斑属性为工矿仓储用地，本次纳入低效用地在开发范围内；TYGB-2、ZQXJ-1容积率并列最大，均为0.58，现状均为棚户区。因本次调查区内调查单元均为平房，以一层建筑为主，本次调查单元容积率与建筑密度大体相同，分布规律类似。</w:t>
      </w:r>
    </w:p>
    <w:p>
      <w:pPr>
        <w:ind w:left="0" w:leftChars="0" w:firstLine="0" w:firstLineChars="0"/>
        <w:rPr>
          <w:rFonts w:hint="eastAsia"/>
          <w:highlight w:val="none"/>
        </w:rPr>
      </w:pPr>
      <w:r>
        <w:rPr>
          <w:rFonts w:hint="eastAsia"/>
          <w:highlight w:val="none"/>
          <w:lang w:val="en-US" w:eastAsia="zh-CN"/>
        </w:rPr>
        <w:t>城镇低效用地调查范围内，房屋建筑均以砖混房屋为主，少量的土木结构平房间杂其中，房龄大部分在三十年以上。基础设施配套水平不高，城镇低效用地调查范围内虽通水、通电，但燃气与暖气没有供应。同时调查范围内入户电线老化严重，安全隐患大，但大部分调查单元区位条件优异，有较高的棚户区改造潜力。</w:t>
      </w:r>
    </w:p>
    <w:p>
      <w:pPr>
        <w:ind w:firstLine="560"/>
        <w:rPr>
          <w:rFonts w:hint="eastAsia"/>
          <w:highlight w:val="none"/>
        </w:rPr>
        <w:sectPr>
          <w:pgSz w:w="11906" w:h="16838"/>
          <w:pgMar w:top="1440" w:right="1800" w:bottom="1440" w:left="1800" w:header="851" w:footer="992" w:gutter="0"/>
          <w:cols w:space="425" w:num="1"/>
          <w:docGrid w:type="lines" w:linePitch="312" w:charSpace="0"/>
        </w:sectPr>
      </w:pPr>
    </w:p>
    <w:p>
      <w:pPr>
        <w:pStyle w:val="4"/>
        <w:rPr>
          <w:rFonts w:hint="eastAsia"/>
          <w:lang w:val="en-US" w:eastAsia="zh-CN"/>
        </w:rPr>
      </w:pPr>
      <w:r>
        <w:rPr>
          <w:rFonts w:hint="eastAsia"/>
          <w:lang w:val="en-US" w:eastAsia="zh-CN"/>
        </w:rPr>
        <w:t>3、低效用地现状用地类型</w:t>
      </w:r>
    </w:p>
    <w:p>
      <w:pPr>
        <w:ind w:firstLine="560"/>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3.3 </w:t>
      </w:r>
      <w:r>
        <w:rPr>
          <w:rFonts w:hint="eastAsia"/>
          <w:b/>
          <w:bCs/>
          <w:highlight w:val="none"/>
        </w:rPr>
        <w:t>城镇低效用地调查单元</w:t>
      </w:r>
      <w:r>
        <w:rPr>
          <w:rFonts w:hint="eastAsia"/>
          <w:b/>
          <w:bCs/>
          <w:highlight w:val="none"/>
          <w:lang w:eastAsia="zh-CN"/>
        </w:rPr>
        <w:t>调查属性</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单位：公顷、个</w:t>
      </w:r>
    </w:p>
    <w:tbl>
      <w:tblPr>
        <w:tblStyle w:val="16"/>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19"/>
        <w:gridCol w:w="1431"/>
        <w:gridCol w:w="1605"/>
        <w:gridCol w:w="1603"/>
        <w:gridCol w:w="1119"/>
        <w:gridCol w:w="1119"/>
        <w:gridCol w:w="1119"/>
        <w:gridCol w:w="2273"/>
        <w:gridCol w:w="1300"/>
        <w:gridCol w:w="1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735" w:hRule="atLeast"/>
          <w:tblHeader/>
        </w:trPr>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县（市、区）</w:t>
            </w:r>
          </w:p>
        </w:tc>
        <w:tc>
          <w:tcPr>
            <w:tcW w:w="1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行政区（乡、街道办）</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低效用地类型</w:t>
            </w:r>
          </w:p>
        </w:tc>
        <w:tc>
          <w:tcPr>
            <w:tcW w:w="111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二调地类</w:t>
            </w:r>
          </w:p>
        </w:tc>
        <w:tc>
          <w:tcPr>
            <w:tcW w:w="111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权属性质</w:t>
            </w:r>
          </w:p>
        </w:tc>
        <w:tc>
          <w:tcPr>
            <w:tcW w:w="2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现状用途</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3.6427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3.6427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CBXQ-2</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4.1256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4.1256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CNPCSD</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CNPCSD-1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5.8068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5.8068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工矿仓储用地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4.8386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4.8386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FG-2</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4.9700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4.9700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LYRY-2</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LYRY-3</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LYRY-4</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旧工矿</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工矿仓储用地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MSJY-2</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SZF-2</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SZF-3</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0.6709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0.6709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SZF-4</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1.8981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1.8981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SZF-5</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1.9817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1.9817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TYGB-2</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TYGB-3</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旧工矿</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采矿用地</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集体</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TYGB-4</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旧工矿</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采矿用地</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集体</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ZQXJ</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ZQXJ-1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0.8318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0.8318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w:t>
            </w: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ZYCJ-1</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ZYCJ-2</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ZYCJ-3</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ZYCJ-4</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1119"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城市</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国有</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工矿仓储用地</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4155"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16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2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51.6652 </w:t>
            </w:r>
          </w:p>
        </w:tc>
        <w:tc>
          <w:tcPr>
            <w:tcW w:w="13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51.6652 </w:t>
            </w:r>
          </w:p>
        </w:tc>
      </w:tr>
    </w:tbl>
    <w:p>
      <w:pPr>
        <w:ind w:firstLine="560"/>
        <w:jc w:val="center"/>
        <w:rPr>
          <w:rFonts w:hint="eastAsia"/>
          <w:b/>
          <w:bCs/>
          <w:highlight w:val="none"/>
        </w:rPr>
      </w:pPr>
    </w:p>
    <w:p>
      <w:pPr>
        <w:ind w:firstLine="560"/>
        <w:jc w:val="center"/>
        <w:rPr>
          <w:rFonts w:hint="eastAsia"/>
          <w:b/>
          <w:bCs/>
          <w:highlight w:val="none"/>
        </w:rPr>
        <w:sectPr>
          <w:pgSz w:w="16838" w:h="11906" w:orient="landscape"/>
          <w:pgMar w:top="1800" w:right="1440" w:bottom="1800" w:left="1440" w:header="851" w:footer="992" w:gutter="0"/>
          <w:cols w:space="425" w:num="1"/>
          <w:docGrid w:type="lines" w:linePitch="312" w:charSpace="0"/>
        </w:sectPr>
      </w:pPr>
    </w:p>
    <w:p>
      <w:pPr>
        <w:ind w:firstLine="560"/>
        <w:rPr>
          <w:rFonts w:hint="eastAsia"/>
          <w:highlight w:val="none"/>
          <w:lang w:val="en-US" w:eastAsia="zh-CN"/>
        </w:rPr>
      </w:pPr>
      <w:r>
        <w:rPr>
          <w:rFonts w:hint="eastAsia"/>
          <w:highlight w:val="none"/>
          <w:lang w:eastAsia="zh-CN"/>
        </w:rPr>
        <w:t>通过调查确定城镇低效用地总规模</w:t>
      </w:r>
      <w:r>
        <w:rPr>
          <w:rFonts w:hint="eastAsia"/>
          <w:highlight w:val="none"/>
          <w:lang w:val="en-US" w:eastAsia="zh-CN"/>
        </w:rPr>
        <w:t>51.6652公顷，现状为住宅用地的最多，共35.2216公顷，主要分布在坚木克尔街道和伊合昂街道东部，当周街道、通钦街道零星分布；商服用地9.2836公顷均在坚木克街道；公共管理与服务用地0.8318公顷，低效图斑位于伊合昂街道；工矿仓储用地6.3282公顷，其中TYGY-3、TYGY-4两块图斑位于通钦街道，LYRY-4位于坚木克尔街道。</w:t>
      </w:r>
    </w:p>
    <w:p>
      <w:pPr>
        <w:ind w:firstLine="560"/>
        <w:rPr>
          <w:rFonts w:hint="eastAsia"/>
          <w:highlight w:val="none"/>
          <w:lang w:val="en-US" w:eastAsia="zh-CN"/>
        </w:rPr>
      </w:pPr>
      <w:r>
        <w:rPr>
          <w:rFonts w:hint="eastAsia"/>
          <w:highlight w:val="none"/>
          <w:lang w:val="en-US" w:eastAsia="zh-CN"/>
        </w:rPr>
        <w:t>低效用地调查单元二调地类以城市为主，采矿用地仅占0.35%；权属类型以国有土地为主，占总面积的99.65%，集体土地占0.35%。</w:t>
      </w:r>
    </w:p>
    <w:p>
      <w:pPr>
        <w:pStyle w:val="3"/>
        <w:rPr>
          <w:rFonts w:hint="eastAsia"/>
          <w:highlight w:val="none"/>
          <w:lang w:val="en-US" w:eastAsia="zh-CN"/>
        </w:rPr>
      </w:pPr>
      <w:bookmarkStart w:id="19" w:name="_Toc11207"/>
      <w:r>
        <w:rPr>
          <w:rFonts w:hint="eastAsia"/>
          <w:highlight w:val="none"/>
          <w:lang w:val="en-US" w:eastAsia="zh-CN"/>
        </w:rPr>
        <w:t>（四）低效用地存在的主要问题</w:t>
      </w:r>
      <w:bookmarkEnd w:id="19"/>
    </w:p>
    <w:p>
      <w:pPr>
        <w:pStyle w:val="4"/>
        <w:rPr>
          <w:rFonts w:hint="eastAsia"/>
          <w:lang w:val="en-US" w:eastAsia="zh-CN"/>
        </w:rPr>
      </w:pPr>
      <w:r>
        <w:rPr>
          <w:rFonts w:hint="eastAsia"/>
          <w:lang w:val="en-US" w:eastAsia="zh-CN"/>
        </w:rPr>
        <w:t>1、部分房屋建筑年限较长存在安全隐患</w:t>
      </w:r>
    </w:p>
    <w:p>
      <w:pPr>
        <w:ind w:firstLine="560"/>
        <w:rPr>
          <w:rFonts w:hint="eastAsia"/>
          <w:highlight w:val="none"/>
          <w:lang w:val="en-US" w:eastAsia="zh-CN"/>
        </w:rPr>
      </w:pPr>
      <w:r>
        <w:rPr>
          <w:rFonts w:hint="eastAsia"/>
          <w:highlight w:val="none"/>
          <w:lang w:val="en-US" w:eastAsia="zh-CN"/>
        </w:rPr>
        <w:t>调查范围内部分低效用地年久失修，主体结构为砖柱土墙，墙皮脱落，居民零星居住，部分房屋已经空置。如体院馆北侧，宗地编号TYGB-1~4的地块，房屋建成时间长，主体结构老旧，在降雨较多的夏季安全隐患越来越大，为保护人民群众人身财产安全，需尽快拆迁安置。</w:t>
      </w:r>
    </w:p>
    <w:p>
      <w:pPr>
        <w:pStyle w:val="4"/>
        <w:rPr>
          <w:rFonts w:hint="eastAsia"/>
          <w:lang w:val="en-US" w:eastAsia="zh-CN"/>
        </w:rPr>
      </w:pPr>
      <w:r>
        <w:rPr>
          <w:rFonts w:hint="eastAsia"/>
          <w:lang w:val="en-US" w:eastAsia="zh-CN"/>
        </w:rPr>
        <w:t>2、退二进三地块空置时间过长</w:t>
      </w:r>
    </w:p>
    <w:p>
      <w:pPr>
        <w:ind w:firstLine="560"/>
        <w:rPr>
          <w:rFonts w:hint="eastAsia"/>
          <w:highlight w:val="none"/>
          <w:lang w:val="en-US" w:eastAsia="zh-CN"/>
        </w:rPr>
      </w:pPr>
      <w:r>
        <w:rPr>
          <w:rFonts w:hint="eastAsia"/>
          <w:highlight w:val="none"/>
          <w:lang w:val="en-US" w:eastAsia="zh-CN"/>
        </w:rPr>
        <w:t>部分退二进三地块空置时间太久，杂草丛生，不仅影响市容，并且容易形成治安死角，有较大的安全隐患。如原燎原乳业旧址，编号LYRY-1~4的地块，空置时间较长，共计4.12公顷，厂房锈迹斑斑，厂区内杂草丛生。退二进三衔接不够紧密，应尽快督促土地权利人按照控制性详细规划进行二次开发，提高土地利用率。</w:t>
      </w:r>
    </w:p>
    <w:p>
      <w:pPr>
        <w:pStyle w:val="4"/>
        <w:rPr>
          <w:rFonts w:hint="eastAsia"/>
          <w:lang w:val="en-US" w:eastAsia="zh-CN"/>
        </w:rPr>
      </w:pPr>
      <w:r>
        <w:rPr>
          <w:rFonts w:hint="eastAsia"/>
          <w:lang w:val="en-US" w:eastAsia="zh-CN"/>
        </w:rPr>
        <w:t>3、棚户区居民生活条件不高</w:t>
      </w:r>
    </w:p>
    <w:p>
      <w:pPr>
        <w:ind w:firstLine="560"/>
        <w:rPr>
          <w:rFonts w:hint="eastAsia"/>
          <w:highlight w:val="none"/>
          <w:lang w:val="en-US" w:eastAsia="zh-CN"/>
        </w:rPr>
      </w:pPr>
      <w:r>
        <w:rPr>
          <w:rFonts w:hint="eastAsia"/>
          <w:highlight w:val="none"/>
          <w:lang w:val="en-US" w:eastAsia="zh-CN"/>
        </w:rPr>
        <w:t>在实地走访过程中，发现大部分棚户区巷道狭窄，道路失修。其中一些巷道车辆无法通行，墙壁斑驳，雨后水洼遍布，出入颇为不便。部分入户电线分布杂乱，线路老化，有很大的安全隐患。棚户区基础设施配套水平总体而言去城区其他区域甚远。</w:t>
      </w:r>
    </w:p>
    <w:p>
      <w:pPr>
        <w:pStyle w:val="2"/>
        <w:numPr>
          <w:ilvl w:val="0"/>
          <w:numId w:val="0"/>
        </w:numPr>
        <w:rPr>
          <w:rFonts w:hint="eastAsia"/>
          <w:lang w:eastAsia="zh-CN"/>
        </w:rPr>
      </w:pPr>
      <w:bookmarkStart w:id="20" w:name="_Toc20638"/>
      <w:r>
        <w:rPr>
          <w:rFonts w:hint="eastAsia"/>
          <w:lang w:eastAsia="zh-CN"/>
        </w:rPr>
        <w:t>三、潜力分析</w:t>
      </w:r>
      <w:bookmarkEnd w:id="20"/>
    </w:p>
    <w:p>
      <w:pPr>
        <w:pStyle w:val="3"/>
        <w:numPr>
          <w:ilvl w:val="0"/>
          <w:numId w:val="0"/>
        </w:numPr>
        <w:rPr>
          <w:rFonts w:hint="eastAsia"/>
          <w:lang w:eastAsia="zh-CN"/>
        </w:rPr>
      </w:pPr>
      <w:bookmarkStart w:id="21" w:name="_Toc885"/>
      <w:r>
        <w:rPr>
          <w:rFonts w:hint="eastAsia"/>
          <w:lang w:eastAsia="zh-CN"/>
        </w:rPr>
        <w:t>（一）理论潜力</w:t>
      </w:r>
      <w:bookmarkEnd w:id="21"/>
    </w:p>
    <w:p>
      <w:pPr>
        <w:rPr>
          <w:rFonts w:hint="eastAsia"/>
          <w:lang w:eastAsia="zh-CN"/>
        </w:rPr>
      </w:pPr>
      <w:r>
        <w:rPr>
          <w:rFonts w:hint="eastAsia"/>
          <w:lang w:eastAsia="zh-CN"/>
        </w:rPr>
        <w:t>城镇低效用地集约利用潜力是指城镇扩展边界内，在现有技术、经济和制度条件下，通过提高土地集约利用程度，提升建设用地利用效率和经济效益的空间。</w:t>
      </w:r>
    </w:p>
    <w:p>
      <w:pPr>
        <w:rPr>
          <w:rFonts w:hint="eastAsia"/>
          <w:lang w:eastAsia="zh-CN"/>
        </w:rPr>
      </w:pPr>
      <w:r>
        <w:rPr>
          <w:rFonts w:hint="eastAsia"/>
          <w:lang w:eastAsia="zh-CN"/>
        </w:rPr>
        <w:t>城镇低效用地再开发的潜力认定标准主要有：（</w:t>
      </w:r>
      <w:r>
        <w:rPr>
          <w:rFonts w:hint="eastAsia"/>
          <w:lang w:val="en-US" w:eastAsia="zh-CN"/>
        </w:rPr>
        <w:t>1</w:t>
      </w:r>
      <w:r>
        <w:rPr>
          <w:rFonts w:hint="eastAsia"/>
          <w:lang w:eastAsia="zh-CN"/>
        </w:rPr>
        <w:t>）不符合土地利用总体规划和城市规划、产业发展规划；（</w:t>
      </w:r>
      <w:r>
        <w:rPr>
          <w:rFonts w:hint="eastAsia"/>
          <w:lang w:val="en-US" w:eastAsia="zh-CN"/>
        </w:rPr>
        <w:t>2</w:t>
      </w:r>
      <w:r>
        <w:rPr>
          <w:rFonts w:hint="eastAsia"/>
          <w:lang w:eastAsia="zh-CN"/>
        </w:rPr>
        <w:t>）不符合安全生产和环保要求；（</w:t>
      </w:r>
      <w:r>
        <w:rPr>
          <w:rFonts w:hint="eastAsia"/>
          <w:lang w:val="en-US" w:eastAsia="zh-CN"/>
        </w:rPr>
        <w:t>3</w:t>
      </w:r>
      <w:r>
        <w:rPr>
          <w:rFonts w:hint="eastAsia"/>
          <w:lang w:eastAsia="zh-CN"/>
        </w:rPr>
        <w:t>）为禁止、淘汰、退二进三产业用地；（</w:t>
      </w:r>
      <w:r>
        <w:rPr>
          <w:rFonts w:hint="eastAsia"/>
          <w:lang w:val="en-US" w:eastAsia="zh-CN"/>
        </w:rPr>
        <w:t>4</w:t>
      </w:r>
      <w:r>
        <w:rPr>
          <w:rFonts w:hint="eastAsia"/>
          <w:lang w:eastAsia="zh-CN"/>
        </w:rPr>
        <w:t>）已列入老城区、城中村、棚户区和老工业区等改造计划；理论上符合以上标准即认定为低效用地，具有再开发的潜力。</w:t>
      </w:r>
    </w:p>
    <w:p>
      <w:pPr>
        <w:rPr>
          <w:rFonts w:hint="eastAsia"/>
          <w:lang w:eastAsia="zh-CN"/>
        </w:rPr>
      </w:pPr>
      <w:r>
        <w:rPr>
          <w:rFonts w:hint="eastAsia"/>
          <w:lang w:eastAsia="zh-CN"/>
        </w:rPr>
        <w:t>本次规划排查确定规划期内合作市理论潜力</w:t>
      </w:r>
      <w:r>
        <w:rPr>
          <w:rFonts w:hint="eastAsia"/>
          <w:lang w:val="en-US" w:eastAsia="zh-CN"/>
        </w:rPr>
        <w:t>51.6652公顷，以旧城镇旧厂矿为主，详见表4.1：</w:t>
      </w:r>
    </w:p>
    <w:p>
      <w:pPr>
        <w:ind w:left="0" w:leftChars="0" w:firstLine="0" w:firstLineChars="0"/>
        <w:rPr>
          <w:rFonts w:hint="eastAsia"/>
          <w:lang w:eastAsia="zh-CN"/>
        </w:rPr>
        <w:sectPr>
          <w:pgSz w:w="11906" w:h="16838"/>
          <w:pgMar w:top="1440" w:right="1800" w:bottom="1440" w:left="1800" w:header="851" w:footer="992" w:gutter="0"/>
          <w:cols w:space="425" w:num="1"/>
          <w:docGrid w:type="lines" w:linePitch="312" w:charSpace="0"/>
        </w:sectPr>
      </w:pPr>
    </w:p>
    <w:p>
      <w:pPr>
        <w:ind w:firstLine="560"/>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4.1 </w:t>
      </w:r>
      <w:r>
        <w:rPr>
          <w:rFonts w:hint="eastAsia"/>
          <w:b/>
          <w:bCs/>
          <w:highlight w:val="none"/>
        </w:rPr>
        <w:t>城镇低效用地</w:t>
      </w:r>
      <w:r>
        <w:rPr>
          <w:rFonts w:hint="eastAsia"/>
          <w:b/>
          <w:bCs/>
          <w:highlight w:val="none"/>
          <w:lang w:eastAsia="zh-CN"/>
        </w:rPr>
        <w:t>再开发潜力</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单位：公顷、个</w:t>
      </w:r>
    </w:p>
    <w:tbl>
      <w:tblPr>
        <w:tblStyle w:val="16"/>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21"/>
        <w:gridCol w:w="901"/>
        <w:gridCol w:w="1110"/>
        <w:gridCol w:w="1382"/>
        <w:gridCol w:w="821"/>
        <w:gridCol w:w="887"/>
        <w:gridCol w:w="885"/>
        <w:gridCol w:w="2054"/>
        <w:gridCol w:w="849"/>
        <w:gridCol w:w="742"/>
        <w:gridCol w:w="2010"/>
        <w:gridCol w:w="750"/>
        <w:gridCol w:w="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16" w:hRule="atLeast"/>
          <w:tblHeader/>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 xml:space="preserve"> 县（市、区）</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行政区（乡、街道办）</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低效用地类型</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c>
          <w:tcPr>
            <w:tcW w:w="2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现状用途</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规划用途</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规划容积率</w:t>
            </w:r>
          </w:p>
        </w:tc>
        <w:tc>
          <w:tcPr>
            <w:tcW w:w="77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规划建筑密度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3.6427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3.6427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CBXQ-2</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4.1256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4.1256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0.31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0.31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CNPCSD</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CNPCSD-1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5.8068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5.8068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0.37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4.8386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4.8386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工矿仓储用地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0.35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0.35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FG-2</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4.9700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4.9700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0.30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0.30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0.58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0.58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LYRY-2</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0.48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0.48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LYRY-3</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0.28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0.28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LYRY-4</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旧工矿</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工矿仓储用地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0.27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0.27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MSJY-2</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SZF-2</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0.39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0.39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SZF-3</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0.6709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0.6709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0.20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0.20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SZF-4</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1.8981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1.8981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0.46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0.46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SZF-5</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1.9817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1.9817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0.44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0.44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1.7</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TYGB-2</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TYGB-3</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旧工矿</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0.38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0.38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TYGB-4</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旧工矿</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0.00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ZQXJ</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ZQXJ-1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0.8318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0.8318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公共管理与服务用地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ZYCJ-1</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0.42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0.42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ZYCJ-2</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ZYCJ-3</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旧城镇</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城镇住宅用地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ZYCJ-4</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旧工矿</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工矿仓储用地</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0.32 </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0.32 </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3.5</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32"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13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51.6652 </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51.6652 </w:t>
            </w:r>
          </w:p>
        </w:tc>
        <w:tc>
          <w:tcPr>
            <w:tcW w:w="20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74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20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r>
    </w:tbl>
    <w:p>
      <w:pPr>
        <w:rPr>
          <w:rFonts w:hint="eastAsia"/>
          <w:lang w:eastAsia="zh-CN"/>
        </w:rPr>
        <w:sectPr>
          <w:pgSz w:w="16838" w:h="11906" w:orient="landscape"/>
          <w:pgMar w:top="1800" w:right="1440" w:bottom="1800" w:left="1440" w:header="851" w:footer="992" w:gutter="0"/>
          <w:cols w:space="425" w:num="1"/>
          <w:docGrid w:type="lines" w:linePitch="312" w:charSpace="0"/>
        </w:sectPr>
      </w:pPr>
    </w:p>
    <w:p>
      <w:pPr>
        <w:rPr>
          <w:rFonts w:hint="eastAsia"/>
          <w:lang w:eastAsia="zh-CN"/>
        </w:rPr>
      </w:pPr>
      <w:r>
        <w:rPr>
          <w:rFonts w:hint="eastAsia"/>
          <w:lang w:eastAsia="zh-CN"/>
        </w:rPr>
        <w:t>合作市低效用地再开发的理论潜力分布如上表所示，其中不合规的低效用地再开发潜力规模</w:t>
      </w:r>
      <w:r>
        <w:rPr>
          <w:rFonts w:hint="eastAsia"/>
          <w:lang w:val="en-US" w:eastAsia="zh-CN"/>
        </w:rPr>
        <w:t>29.5733公顷，纳入棚户区改造的潜力22.0919公顷。现状容积率较规划容积率差值在0-3之间，提升空间巨大，有较大的规模潜力可挖。</w:t>
      </w:r>
    </w:p>
    <w:p>
      <w:pPr>
        <w:pStyle w:val="3"/>
        <w:numPr>
          <w:ilvl w:val="0"/>
          <w:numId w:val="0"/>
        </w:numPr>
        <w:rPr>
          <w:rFonts w:hint="eastAsia"/>
          <w:lang w:eastAsia="zh-CN"/>
        </w:rPr>
      </w:pPr>
      <w:bookmarkStart w:id="22" w:name="_Toc10380"/>
      <w:r>
        <w:rPr>
          <w:rFonts w:hint="eastAsia"/>
          <w:lang w:eastAsia="zh-CN"/>
        </w:rPr>
        <w:t>（二）可实现潜力</w:t>
      </w:r>
      <w:bookmarkEnd w:id="22"/>
    </w:p>
    <w:p>
      <w:pPr>
        <w:pStyle w:val="4"/>
        <w:rPr>
          <w:rFonts w:hint="eastAsia"/>
          <w:lang w:val="en-US" w:eastAsia="zh-CN"/>
        </w:rPr>
      </w:pPr>
      <w:r>
        <w:rPr>
          <w:rFonts w:hint="eastAsia"/>
          <w:lang w:val="en-US" w:eastAsia="zh-CN"/>
        </w:rPr>
        <w:t>1、各相关现实因素</w:t>
      </w:r>
    </w:p>
    <w:p>
      <w:pPr>
        <w:rPr>
          <w:rFonts w:hint="eastAsia"/>
          <w:lang w:eastAsia="zh-CN"/>
        </w:rPr>
      </w:pPr>
      <w:r>
        <w:rPr>
          <w:rFonts w:hint="eastAsia"/>
          <w:lang w:eastAsia="zh-CN"/>
        </w:rPr>
        <w:t>结合城总规、控详规等的利用强度、用途规定及国家和省、市相关控制指标和标准，综合考虑规划期内合作市经济社会发展水平、用地供需矛盾、开发建设成本、资金投入能力、公众意愿等现实因素，对城镇低效用地再开发的理论潜力综合分析，确定规划期内可实现再开发的低效用地图斑。</w:t>
      </w:r>
    </w:p>
    <w:p>
      <w:pPr>
        <w:pStyle w:val="4"/>
        <w:rPr>
          <w:rFonts w:hint="eastAsia"/>
          <w:lang w:val="en-US" w:eastAsia="zh-CN"/>
        </w:rPr>
      </w:pPr>
      <w:r>
        <w:rPr>
          <w:rFonts w:hint="eastAsia"/>
          <w:lang w:val="en-US" w:eastAsia="zh-CN"/>
        </w:rPr>
        <w:t>2、规划期内低效用地可实现潜力</w:t>
      </w:r>
    </w:p>
    <w:p>
      <w:pPr>
        <w:rPr>
          <w:rFonts w:hint="eastAsia"/>
          <w:lang w:val="en-US" w:eastAsia="zh-CN"/>
        </w:rPr>
      </w:pPr>
      <w:r>
        <w:rPr>
          <w:rFonts w:hint="eastAsia"/>
          <w:lang w:eastAsia="zh-CN"/>
        </w:rPr>
        <w:t>通过分析筛选合作市整个规划期内确定低效用地再开发可实现潜力规模</w:t>
      </w:r>
      <w:r>
        <w:rPr>
          <w:rFonts w:hint="eastAsia"/>
          <w:lang w:val="en-US" w:eastAsia="zh-CN"/>
        </w:rPr>
        <w:t>22.8989公顷，共计16个图斑，详见表4.2：</w:t>
      </w:r>
    </w:p>
    <w:p>
      <w:pPr>
        <w:rPr>
          <w:rFonts w:hint="eastAsia"/>
          <w:lang w:val="en-US" w:eastAsia="zh-CN"/>
        </w:rPr>
      </w:pPr>
      <w:r>
        <w:rPr>
          <w:rFonts w:hint="eastAsia"/>
          <w:lang w:val="en-US" w:eastAsia="zh-CN"/>
        </w:rPr>
        <w:br w:type="page"/>
      </w:r>
    </w:p>
    <w:p>
      <w:pPr>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4.2 </w:t>
      </w:r>
      <w:r>
        <w:rPr>
          <w:rFonts w:hint="eastAsia"/>
          <w:b/>
          <w:bCs/>
          <w:highlight w:val="none"/>
        </w:rPr>
        <w:t>城镇低效用地</w:t>
      </w:r>
      <w:r>
        <w:rPr>
          <w:rFonts w:hint="eastAsia"/>
          <w:b/>
          <w:bCs/>
          <w:highlight w:val="none"/>
          <w:lang w:eastAsia="zh-CN"/>
        </w:rPr>
        <w:t>再开发可实现潜力</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w:t>
      </w:r>
    </w:p>
    <w:tbl>
      <w:tblPr>
        <w:tblStyle w:val="16"/>
        <w:tblW w:w="83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86"/>
        <w:gridCol w:w="780"/>
        <w:gridCol w:w="885"/>
        <w:gridCol w:w="990"/>
        <w:gridCol w:w="945"/>
        <w:gridCol w:w="975"/>
        <w:gridCol w:w="1005"/>
        <w:gridCol w:w="1140"/>
        <w:gridCol w:w="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70" w:hRule="atLeast"/>
          <w:tblHeader/>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县（市、区）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调查区编号</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调查单元数量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调查单元总面积</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低效用地总面积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基础设施配套情况</w:t>
            </w:r>
          </w:p>
        </w:tc>
        <w:tc>
          <w:tcPr>
            <w:tcW w:w="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房屋建筑质量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2"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0.58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0.58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0.48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0.48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0.28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0.28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0.27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0.27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0.36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0.33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0.39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0.39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0.54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0.38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0.38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0.18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0.18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w:t>
            </w: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ZYCJ-1</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0.42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0.42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ZYCJ-2</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ZYCJ-3</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0.51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ZYCJ-4</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0.32 </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0.32 </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水、电</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砖混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451"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9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22.8989 </w:t>
            </w:r>
          </w:p>
        </w:tc>
        <w:tc>
          <w:tcPr>
            <w:tcW w:w="9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22.8989 </w:t>
            </w:r>
          </w:p>
        </w:tc>
        <w:tc>
          <w:tcPr>
            <w:tcW w:w="97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00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1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82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r>
    </w:tbl>
    <w:p>
      <w:pPr>
        <w:rPr>
          <w:rFonts w:hint="eastAsia"/>
          <w:lang w:eastAsia="zh-CN"/>
        </w:rPr>
      </w:pPr>
      <w:r>
        <w:rPr>
          <w:rFonts w:hint="eastAsia"/>
          <w:lang w:eastAsia="zh-CN"/>
        </w:rPr>
        <w:br w:type="page"/>
      </w:r>
    </w:p>
    <w:p>
      <w:pPr>
        <w:pStyle w:val="2"/>
        <w:rPr>
          <w:rFonts w:hint="eastAsia"/>
          <w:lang w:eastAsia="zh-CN"/>
        </w:rPr>
      </w:pPr>
      <w:bookmarkStart w:id="23" w:name="_Toc23400"/>
      <w:r>
        <w:rPr>
          <w:rFonts w:hint="eastAsia"/>
          <w:lang w:eastAsia="zh-CN"/>
        </w:rPr>
        <w:t>四、规划优化</w:t>
      </w:r>
      <w:bookmarkEnd w:id="23"/>
    </w:p>
    <w:p>
      <w:pPr>
        <w:pStyle w:val="3"/>
        <w:rPr>
          <w:rFonts w:hint="eastAsia"/>
          <w:lang w:eastAsia="zh-CN"/>
        </w:rPr>
      </w:pPr>
      <w:bookmarkStart w:id="24" w:name="_Toc2972"/>
      <w:r>
        <w:rPr>
          <w:rFonts w:hint="eastAsia"/>
          <w:lang w:eastAsia="zh-CN"/>
        </w:rPr>
        <w:t>（一）规划目标</w:t>
      </w:r>
      <w:bookmarkEnd w:id="24"/>
    </w:p>
    <w:p>
      <w:pPr>
        <w:pStyle w:val="4"/>
        <w:rPr>
          <w:rFonts w:hint="eastAsia"/>
          <w:lang w:val="en-US" w:eastAsia="zh-CN"/>
        </w:rPr>
      </w:pPr>
      <w:r>
        <w:rPr>
          <w:rFonts w:hint="eastAsia"/>
          <w:lang w:val="en-US" w:eastAsia="zh-CN"/>
        </w:rPr>
        <w:t>1、总体目标</w:t>
      </w:r>
    </w:p>
    <w:p>
      <w:pPr>
        <w:rPr>
          <w:rFonts w:hint="eastAsia"/>
          <w:lang w:val="en-US" w:eastAsia="zh-CN"/>
        </w:rPr>
      </w:pPr>
      <w:r>
        <w:rPr>
          <w:rFonts w:hint="eastAsia"/>
          <w:lang w:val="en-US" w:eastAsia="zh-CN"/>
        </w:rPr>
        <w:t>在合作市低效用地潜力分析的基础上，结合土地利用总体规划和合作市中心城区控制性详细规划中利用边界与利用方向的要求，确定规划期内合作市城镇低效用地再开发共计16个地块，总规模22.8989公顷，主要分布在坚木克尔街道、当周街道、通钦街道、伊合昂街道等四个街道，大部分集中在城区北部市政府调查区四围。</w:t>
      </w:r>
    </w:p>
    <w:p>
      <w:pPr>
        <w:pStyle w:val="4"/>
        <w:rPr>
          <w:rFonts w:hint="eastAsia"/>
          <w:lang w:val="en-US" w:eastAsia="zh-CN"/>
        </w:rPr>
      </w:pPr>
      <w:r>
        <w:rPr>
          <w:rFonts w:hint="eastAsia"/>
          <w:lang w:val="en-US" w:eastAsia="zh-CN"/>
        </w:rPr>
        <w:t>2、定性目标</w:t>
      </w:r>
    </w:p>
    <w:p>
      <w:pPr>
        <w:rPr>
          <w:rFonts w:hint="eastAsia"/>
          <w:lang w:val="en-US" w:eastAsia="zh-CN"/>
        </w:rPr>
      </w:pPr>
      <w:r>
        <w:rPr>
          <w:rFonts w:hint="eastAsia"/>
          <w:lang w:val="en-US" w:eastAsia="zh-CN"/>
        </w:rPr>
        <w:t>合作市中心城区是合作市作为“甘青川交界处藏区中心城市，甘南州政治经济文化中心”最核心的载体，是重要的旅游、商贸、物质集散地，具有行政、文化、旅游、商贸物流、教育科研等多重功能的城市综合区。因此，发展大商贸大物流、搞好旅游中转地及目的地的接待服务，塑造高原生态旅游城市风貌是合作市城市建设最主要的目标和任务。</w:t>
      </w:r>
    </w:p>
    <w:p>
      <w:pPr>
        <w:rPr>
          <w:rFonts w:hint="eastAsia"/>
          <w:lang w:val="en-US" w:eastAsia="zh-CN"/>
        </w:rPr>
      </w:pPr>
      <w:r>
        <w:rPr>
          <w:rFonts w:hint="eastAsia"/>
          <w:lang w:val="en-US" w:eastAsia="zh-CN"/>
        </w:rPr>
        <w:t>综合分析合作市人口状况、区域经济发展、产业升级、文化特色人居环境等基础资料，得出合作市尚需完善的五大职能：（1）州府所在地政治经济文化中心职能；（2）旅游目的地及中转地的接待服务职能及相应的休闲娱乐职能；（3）辐射全州及承担甘青川交界处藏区中心城市的大商贸大物流职能；（4）高等教育及职业培训职能；（5）生活居住职能。</w:t>
      </w:r>
    </w:p>
    <w:p>
      <w:pPr>
        <w:rPr>
          <w:rFonts w:hint="eastAsia"/>
          <w:lang w:val="en-US" w:eastAsia="zh-CN"/>
        </w:rPr>
      </w:pPr>
      <w:r>
        <w:rPr>
          <w:rFonts w:hint="eastAsia"/>
          <w:lang w:val="en-US" w:eastAsia="zh-CN"/>
        </w:rPr>
        <w:t>在此基础上因地制宜，以规划为主导，以区位为主要考量依据，综合考量成本、工期、设施价值、服务范围、服务人口，决定再开发地块的利用方向，进一步补全合作市尚需完善的五大职能。</w:t>
      </w:r>
    </w:p>
    <w:p>
      <w:pPr>
        <w:pStyle w:val="4"/>
        <w:rPr>
          <w:rFonts w:hint="eastAsia"/>
          <w:lang w:val="en-US" w:eastAsia="zh-CN"/>
        </w:rPr>
      </w:pPr>
      <w:r>
        <w:rPr>
          <w:rFonts w:hint="eastAsia"/>
          <w:lang w:val="en-US" w:eastAsia="zh-CN"/>
        </w:rPr>
        <w:t>3、定量目标</w:t>
      </w:r>
    </w:p>
    <w:p>
      <w:pPr>
        <w:rPr>
          <w:rFonts w:hint="eastAsia"/>
          <w:lang w:eastAsia="zh-CN"/>
        </w:rPr>
      </w:pPr>
      <w:r>
        <w:rPr>
          <w:rFonts w:hint="eastAsia"/>
          <w:lang w:eastAsia="zh-CN"/>
        </w:rPr>
        <w:t>本次规划期内城镇低效用地再开发总规模</w:t>
      </w:r>
      <w:r>
        <w:rPr>
          <w:rFonts w:hint="eastAsia"/>
          <w:lang w:val="en-US" w:eastAsia="zh-CN"/>
        </w:rPr>
        <w:t>22.8989公顷，其中住宅用地21.4094公顷，工矿仓储用地1.4896公顷；当周街道1.6057公顷，坚木克尔街道8.6471公顷，通钦街道5.3292公顷，伊合昂街道7.3168公顷。各低效利用地块再开发后容积率、建筑密度达到控详规要求。</w:t>
      </w:r>
    </w:p>
    <w:p>
      <w:pPr>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5.1 </w:t>
      </w:r>
      <w:r>
        <w:rPr>
          <w:rFonts w:hint="eastAsia"/>
          <w:b/>
          <w:bCs/>
          <w:highlight w:val="none"/>
        </w:rPr>
        <w:t>城镇低效用地</w:t>
      </w:r>
      <w:r>
        <w:rPr>
          <w:rFonts w:hint="eastAsia"/>
          <w:b/>
          <w:bCs/>
          <w:highlight w:val="none"/>
          <w:lang w:eastAsia="zh-CN"/>
        </w:rPr>
        <w:t>再开发规划利用强度</w:t>
      </w:r>
      <w:r>
        <w:rPr>
          <w:rFonts w:hint="eastAsia"/>
          <w:b/>
          <w:bCs/>
          <w:highlight w:val="none"/>
        </w:rPr>
        <w:t>汇总表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单位：公顷</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12"/>
        <w:gridCol w:w="1167"/>
        <w:gridCol w:w="1689"/>
        <w:gridCol w:w="1654"/>
        <w:gridCol w:w="1168"/>
        <w:gridCol w:w="868"/>
        <w:gridCol w:w="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地块编号</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所在县（市、区）</w:t>
            </w:r>
          </w:p>
        </w:tc>
        <w:tc>
          <w:tcPr>
            <w:tcW w:w="1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所在建制镇或街道</w:t>
            </w:r>
          </w:p>
        </w:tc>
        <w:tc>
          <w:tcPr>
            <w:tcW w:w="1654"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利用方向</w:t>
            </w:r>
          </w:p>
        </w:tc>
        <w:tc>
          <w:tcPr>
            <w:tcW w:w="1168"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LYRY-1</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1.0118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LYRY-2</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0.9908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LYRY-3</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公共管理与公共服务用地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1.0794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LYRY-4</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1.0342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MSJY-1</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0.8163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MSJY-2</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当周街道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0.7894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SZF-1</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6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1.3932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SZF-2</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坚木克尔街道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3.1376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TYGB-1</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3.5144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1.7</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TYGB-2</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公共管理与公共服务用地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1.6332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TYGB-3</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公共管理与公共服务用地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0.1318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TYGB-4</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通钦街道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公共管理与公共服务用地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0.0498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ZYCJ-1</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4.5007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ZYCJ-2</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1.7847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ZYCJ-3</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住宅用地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0.5760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ZYCJ-4</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合作市</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伊合昂街道</w:t>
            </w:r>
          </w:p>
        </w:tc>
        <w:tc>
          <w:tcPr>
            <w:tcW w:w="165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商服用地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0.4554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3.5</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11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68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6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11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22.8989 </w:t>
            </w:r>
          </w:p>
        </w:tc>
        <w:tc>
          <w:tcPr>
            <w:tcW w:w="8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c>
          <w:tcPr>
            <w:tcW w:w="87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w:t>
            </w:r>
          </w:p>
        </w:tc>
      </w:tr>
    </w:tbl>
    <w:p>
      <w:pPr>
        <w:pStyle w:val="3"/>
        <w:rPr>
          <w:rFonts w:hint="eastAsia"/>
          <w:lang w:eastAsia="zh-CN"/>
        </w:rPr>
      </w:pPr>
      <w:bookmarkStart w:id="25" w:name="_Toc21266"/>
      <w:r>
        <w:rPr>
          <w:rFonts w:hint="eastAsia"/>
          <w:lang w:eastAsia="zh-CN"/>
        </w:rPr>
        <w:t>（二）空间布局，结构优化。</w:t>
      </w:r>
      <w:bookmarkEnd w:id="25"/>
    </w:p>
    <w:p>
      <w:pPr>
        <w:rPr>
          <w:rFonts w:hint="eastAsia"/>
          <w:lang w:eastAsia="zh-CN"/>
        </w:rPr>
      </w:pPr>
      <w:r>
        <w:rPr>
          <w:rFonts w:hint="eastAsia"/>
          <w:lang w:eastAsia="zh-CN"/>
        </w:rPr>
        <w:t>本次合作市城镇低效用地再开发坚持先中心后外围的开发利用原则，围绕合作市尚需完善的五大职能合理安排各个地块的开发利用方向，十六个低效用地再开发地块呈现出北多南少的特点。共计三个开发利用方向：</w:t>
      </w:r>
    </w:p>
    <w:p>
      <w:pPr>
        <w:pStyle w:val="4"/>
        <w:rPr>
          <w:rFonts w:hint="eastAsia"/>
          <w:lang w:val="en-US" w:eastAsia="zh-CN"/>
        </w:rPr>
      </w:pPr>
      <w:r>
        <w:rPr>
          <w:rFonts w:hint="eastAsia"/>
          <w:lang w:val="en-US" w:eastAsia="zh-CN"/>
        </w:rPr>
        <w:t>1、规划主导用途为公共管理与公共服务用地</w:t>
      </w:r>
    </w:p>
    <w:p>
      <w:pPr>
        <w:rPr>
          <w:rFonts w:hint="eastAsia"/>
          <w:lang w:val="en-US" w:eastAsia="zh-CN"/>
        </w:rPr>
      </w:pPr>
      <w:r>
        <w:rPr>
          <w:rFonts w:hint="eastAsia"/>
          <w:lang w:eastAsia="zh-CN"/>
        </w:rPr>
        <w:t>围绕州府所在地政治经济文化中心职能、旅游目的地及中转地的接待服务职能及相应的休闲娱乐职能及高等教育职业培训职能，将</w:t>
      </w:r>
      <w:r>
        <w:rPr>
          <w:rFonts w:hint="eastAsia"/>
          <w:lang w:val="en-US" w:eastAsia="zh-CN"/>
        </w:rPr>
        <w:t>LYRY-3规划为绿地，TYGB-2、TYGB-3、TYGB-4规划为教育科研用地，共计2.89公顷，由政府主导，以财政资金为主。</w:t>
      </w:r>
    </w:p>
    <w:p>
      <w:pPr>
        <w:pStyle w:val="4"/>
        <w:rPr>
          <w:rFonts w:hint="eastAsia"/>
          <w:lang w:val="en-US" w:eastAsia="zh-CN"/>
        </w:rPr>
      </w:pPr>
      <w:r>
        <w:rPr>
          <w:rFonts w:hint="eastAsia"/>
          <w:lang w:val="en-US" w:eastAsia="zh-CN"/>
        </w:rPr>
        <w:t>2、规划主导用途为商服用地</w:t>
      </w:r>
    </w:p>
    <w:p>
      <w:pPr>
        <w:rPr>
          <w:rFonts w:hint="eastAsia"/>
          <w:lang w:eastAsia="zh-CN"/>
        </w:rPr>
      </w:pPr>
      <w:r>
        <w:rPr>
          <w:rFonts w:hint="eastAsia"/>
          <w:lang w:eastAsia="zh-CN"/>
        </w:rPr>
        <w:t>围绕旅游目的地及中转地的接待服务职能及辐射全州及承担甘青川交界处藏区中心城市的大商贸大物流职能，将</w:t>
      </w:r>
      <w:r>
        <w:rPr>
          <w:rFonts w:hint="eastAsia"/>
          <w:lang w:val="en-US" w:eastAsia="zh-CN"/>
        </w:rPr>
        <w:t>SZF-1、ZYCJ-4规划为商服用地，共计1.85公顷，由政府主导，开发商自主筹资。</w:t>
      </w:r>
    </w:p>
    <w:p>
      <w:pPr>
        <w:pStyle w:val="4"/>
        <w:rPr>
          <w:rFonts w:hint="eastAsia"/>
          <w:lang w:val="en-US" w:eastAsia="zh-CN"/>
        </w:rPr>
      </w:pPr>
      <w:r>
        <w:rPr>
          <w:rFonts w:hint="eastAsia"/>
          <w:lang w:val="en-US" w:eastAsia="zh-CN"/>
        </w:rPr>
        <w:t>3、规划主导用途为居住用地</w:t>
      </w:r>
    </w:p>
    <w:p>
      <w:pPr/>
      <w:r>
        <w:rPr>
          <w:rFonts w:hint="eastAsia"/>
          <w:lang w:eastAsia="zh-CN"/>
        </w:rPr>
        <w:t>LYRY-1、LYRY-2、LYRY-4、MSJY-1、MSJY-2、SZF-2、TYGB-1、ZYCJ-1、ZYCJ-2、ZYCJ-3规划主导用途为居住用地，共计</w:t>
      </w:r>
      <w:r>
        <w:rPr>
          <w:rFonts w:hint="eastAsia"/>
          <w:lang w:val="en-US" w:eastAsia="zh-CN"/>
        </w:rPr>
        <w:t>18.16公顷，其中</w:t>
      </w:r>
      <w:r>
        <w:rPr>
          <w:rFonts w:hint="eastAsia"/>
          <w:lang w:eastAsia="zh-CN"/>
        </w:rPr>
        <w:t>LYRY-1、LYRY-4由土地权利人主导，自主筹资开发，其余由政府主导，开发商筹资开发。</w:t>
      </w:r>
    </w:p>
    <w:p>
      <w:pPr>
        <w:rPr>
          <w:rFonts w:hint="eastAsia"/>
          <w:highlight w:val="none"/>
          <w:lang w:eastAsia="zh-CN"/>
        </w:rPr>
      </w:pPr>
      <w:r>
        <w:rPr>
          <w:rFonts w:hint="eastAsia"/>
          <w:lang w:eastAsia="zh-CN"/>
        </w:rPr>
        <w:t>再开发完成后商服用地增加</w:t>
      </w:r>
      <w:r>
        <w:rPr>
          <w:rFonts w:hint="eastAsia"/>
          <w:lang w:val="en-US" w:eastAsia="zh-CN"/>
        </w:rPr>
        <w:t>1.8486公顷，住宅用地减少3.2532公顷，工矿仓储用地减少1.4896公顷，公共管理与服务用地增加2.8942公顷。整体而言旧城镇、旧工矿用地减少，商服、公共管理与</w:t>
      </w:r>
      <w:r>
        <w:rPr>
          <w:rFonts w:hint="eastAsia"/>
          <w:highlight w:val="none"/>
          <w:lang w:val="en-US" w:eastAsia="zh-CN"/>
        </w:rPr>
        <w:t>服务用地增加。</w:t>
      </w:r>
    </w:p>
    <w:p>
      <w:pPr>
        <w:pStyle w:val="2"/>
        <w:rPr>
          <w:rFonts w:hint="eastAsia"/>
          <w:lang w:eastAsia="zh-CN"/>
        </w:rPr>
      </w:pPr>
      <w:bookmarkStart w:id="26" w:name="_Toc7465"/>
      <w:r>
        <w:rPr>
          <w:rFonts w:hint="eastAsia"/>
          <w:lang w:eastAsia="zh-CN"/>
        </w:rPr>
        <w:t>五、时序安排</w:t>
      </w:r>
      <w:bookmarkEnd w:id="26"/>
    </w:p>
    <w:p>
      <w:pPr>
        <w:rPr>
          <w:rFonts w:hint="eastAsia"/>
          <w:highlight w:val="none"/>
          <w:lang w:val="en-US" w:eastAsia="zh-CN"/>
        </w:rPr>
      </w:pPr>
      <w:r>
        <w:rPr>
          <w:rFonts w:hint="eastAsia"/>
          <w:highlight w:val="none"/>
          <w:lang w:eastAsia="zh-CN"/>
        </w:rPr>
        <w:t>本次合作市低效用地再开发总计</w:t>
      </w:r>
      <w:r>
        <w:rPr>
          <w:rFonts w:hint="eastAsia"/>
          <w:highlight w:val="none"/>
          <w:lang w:val="en-US" w:eastAsia="zh-CN"/>
        </w:rPr>
        <w:t>16个地块22.90公顷。计划五年内完成所有地块的开发工作，从2018年开始到2022年结束。</w:t>
      </w:r>
    </w:p>
    <w:p>
      <w:pPr>
        <w:rPr>
          <w:rFonts w:hint="eastAsia"/>
          <w:highlight w:val="none"/>
          <w:lang w:val="en-US" w:eastAsia="zh-CN"/>
        </w:rPr>
      </w:pPr>
      <w:r>
        <w:rPr>
          <w:rFonts w:hint="eastAsia"/>
          <w:highlight w:val="none"/>
          <w:lang w:val="en-US" w:eastAsia="zh-CN"/>
        </w:rPr>
        <w:t>其中：2018年规划开发两个项目：地块LYRY-1、LYRY-4，合作市乳品厂棚户区改造项目一期，共计2.04公顷，地均固定资产投资7000万元/公顷；地块ZYCJ-2，合作市强劲公司家属院（东宏豪庭）棚户区改造项目，共计1.78公顷，地均固定资产投资7000万元/公顷；</w:t>
      </w:r>
    </w:p>
    <w:p>
      <w:pPr>
        <w:rPr>
          <w:rFonts w:hint="eastAsia"/>
          <w:highlight w:val="none"/>
          <w:lang w:val="en-US" w:eastAsia="zh-CN"/>
        </w:rPr>
      </w:pPr>
      <w:r>
        <w:rPr>
          <w:rFonts w:hint="eastAsia"/>
          <w:highlight w:val="none"/>
          <w:lang w:val="en-US" w:eastAsia="zh-CN"/>
        </w:rPr>
        <w:t>2019年规划开发四个项目：地块LYRY-2，合作市乳品厂棚户区改造项目二期，共计0.99公顷，地均固定资产投资7000万元/公顷；地块MSJY-1，合作市火柴厂家属院棚户区改造及市直职工周转房建设项目，共计0.82公顷，地均固定资产投资7000万元/公顷；地块SZF-1，合作市怡安棚户区改造项目，共计1.39公顷，地均固定资产投资4200万元/公顷；地块SZF-2，合作市怡安六期（玉鑫家园）棚户区改造项目，共计3.14公顷，地均固定资产投资7000万元/公顷；</w:t>
      </w:r>
    </w:p>
    <w:p>
      <w:pPr>
        <w:rPr>
          <w:rFonts w:hint="eastAsia"/>
          <w:highlight w:val="none"/>
          <w:lang w:val="en-US" w:eastAsia="zh-CN"/>
        </w:rPr>
      </w:pPr>
      <w:r>
        <w:rPr>
          <w:rFonts w:hint="eastAsia"/>
          <w:highlight w:val="none"/>
          <w:lang w:val="en-US" w:eastAsia="zh-CN"/>
        </w:rPr>
        <w:t>2020年规划开发一个项目：地块TYGB-1，合作市综合楼片区棚户区改造项目，共计3.51公顷，地均固定资产投资4760万元/公顷；地块TYGB-2、TYGB-3、TYGB-4，合作市综合楼片区棚户区改造项目，共计1.81公顷，地均固定资产投资8400万元/公顷；</w:t>
      </w:r>
    </w:p>
    <w:p>
      <w:pPr>
        <w:rPr>
          <w:rFonts w:hint="eastAsia"/>
          <w:highlight w:val="none"/>
          <w:lang w:val="en-US" w:eastAsia="zh-CN"/>
        </w:rPr>
      </w:pPr>
      <w:r>
        <w:rPr>
          <w:rFonts w:hint="eastAsia"/>
          <w:highlight w:val="none"/>
          <w:lang w:val="en-US" w:eastAsia="zh-CN"/>
        </w:rPr>
        <w:t>2021年规划开发一个项目：地块ZYCJ-1，合作市烟草局家属院片区棚户区改造项目，共计4.5公顷，地均固定资产投资7000万元/公顷；地块ZYCJ-4，合作市烟草局家属院片区棚户区改造项目，共计0.46公顷，地均固定资产投资9800万元/公顷；</w:t>
      </w:r>
    </w:p>
    <w:p>
      <w:pPr>
        <w:rPr>
          <w:rFonts w:hint="eastAsia"/>
          <w:highlight w:val="none"/>
          <w:lang w:eastAsia="zh-CN"/>
        </w:rPr>
      </w:pPr>
      <w:r>
        <w:rPr>
          <w:rFonts w:hint="eastAsia"/>
          <w:highlight w:val="none"/>
          <w:lang w:val="en-US" w:eastAsia="zh-CN"/>
        </w:rPr>
        <w:t>2022年规划开发三个项目：地块MSJY-2，合作市火柴厂家属院棚户区改造项目，共计0.79公顷，地均固定资产投资7000万元/公顷；地块LYRY-3，合作市乳品厂棚户区改造项目三期，共计1.08公顷，住户拆迁变更为绿化用地；地均固定资产投资9800万元/公顷；地块ZYCJ-3，合作市强劲公司家属院棚户区改造项目，共计0.58公顷，地均固定资产投资7000万元/公顷；</w:t>
      </w:r>
    </w:p>
    <w:p>
      <w:pPr>
        <w:ind w:left="0" w:leftChars="0" w:firstLine="0" w:firstLineChars="0"/>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5.2 </w:t>
      </w:r>
      <w:r>
        <w:rPr>
          <w:rFonts w:hint="eastAsia"/>
          <w:b/>
          <w:bCs/>
          <w:highlight w:val="none"/>
        </w:rPr>
        <w:t>城镇低效用地</w:t>
      </w:r>
      <w:r>
        <w:rPr>
          <w:rFonts w:hint="eastAsia"/>
          <w:b/>
          <w:bCs/>
          <w:highlight w:val="none"/>
          <w:lang w:eastAsia="zh-CN"/>
        </w:rPr>
        <w:t>再开发建设时序安排</w:t>
      </w:r>
      <w:r>
        <w:rPr>
          <w:rFonts w:hint="eastAsia"/>
          <w:b/>
          <w:bCs/>
          <w:highlight w:val="none"/>
        </w:rPr>
        <w:t>表</w:t>
      </w:r>
    </w:p>
    <w:p>
      <w:pPr>
        <w:ind w:firstLine="560"/>
        <w:jc w:val="right"/>
        <w:rPr>
          <w:rFonts w:hint="eastAsia" w:eastAsia="仿宋"/>
          <w:b/>
          <w:bCs/>
          <w:sz w:val="21"/>
          <w:szCs w:val="21"/>
          <w:highlight w:val="yellow"/>
          <w:lang w:eastAsia="zh-CN"/>
        </w:rPr>
      </w:pPr>
      <w:r>
        <w:rPr>
          <w:rFonts w:hint="eastAsia"/>
          <w:b/>
          <w:bCs/>
          <w:sz w:val="21"/>
          <w:szCs w:val="21"/>
          <w:highlight w:val="none"/>
          <w:lang w:eastAsia="zh-CN"/>
        </w:rPr>
        <w:t>单位：公顷、个</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6"/>
        <w:gridCol w:w="288"/>
        <w:gridCol w:w="580"/>
        <w:gridCol w:w="341"/>
        <w:gridCol w:w="462"/>
        <w:gridCol w:w="557"/>
        <w:gridCol w:w="363"/>
        <w:gridCol w:w="452"/>
        <w:gridCol w:w="557"/>
        <w:gridCol w:w="364"/>
        <w:gridCol w:w="452"/>
        <w:gridCol w:w="557"/>
        <w:gridCol w:w="334"/>
        <w:gridCol w:w="452"/>
        <w:gridCol w:w="594"/>
        <w:gridCol w:w="273"/>
        <w:gridCol w:w="452"/>
        <w:gridCol w:w="5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所在县（市、区）</w:t>
            </w:r>
          </w:p>
        </w:tc>
        <w:tc>
          <w:tcPr>
            <w:tcW w:w="28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地块数量</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面积</w:t>
            </w:r>
          </w:p>
        </w:tc>
        <w:tc>
          <w:tcPr>
            <w:tcW w:w="1360"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2018年</w:t>
            </w:r>
          </w:p>
        </w:tc>
        <w:tc>
          <w:tcPr>
            <w:tcW w:w="1372"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2019年</w:t>
            </w:r>
          </w:p>
        </w:tc>
        <w:tc>
          <w:tcPr>
            <w:tcW w:w="1373"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2020年</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2021年</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p>
        </w:tc>
        <w:tc>
          <w:tcPr>
            <w:tcW w:w="28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p>
        </w:tc>
        <w:tc>
          <w:tcPr>
            <w:tcW w:w="3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数量</w:t>
            </w:r>
          </w:p>
        </w:tc>
        <w:tc>
          <w:tcPr>
            <w:tcW w:w="4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面积</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百分比</w:t>
            </w:r>
          </w:p>
        </w:tc>
        <w:tc>
          <w:tcPr>
            <w:tcW w:w="36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数量</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面积</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百分比</w:t>
            </w:r>
          </w:p>
        </w:tc>
        <w:tc>
          <w:tcPr>
            <w:tcW w:w="3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数量</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面积</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百分比</w:t>
            </w:r>
          </w:p>
        </w:tc>
        <w:tc>
          <w:tcPr>
            <w:tcW w:w="33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数量</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面积</w:t>
            </w:r>
          </w:p>
        </w:tc>
        <w:tc>
          <w:tcPr>
            <w:tcW w:w="59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百分比</w:t>
            </w:r>
          </w:p>
        </w:tc>
        <w:tc>
          <w:tcPr>
            <w:tcW w:w="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数量</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面积</w:t>
            </w:r>
          </w:p>
        </w:tc>
        <w:tc>
          <w:tcPr>
            <w:tcW w:w="59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合作市</w:t>
            </w:r>
          </w:p>
        </w:tc>
        <w:tc>
          <w:tcPr>
            <w:tcW w:w="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16</w:t>
            </w:r>
          </w:p>
        </w:tc>
        <w:tc>
          <w:tcPr>
            <w:tcW w:w="5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22.90 </w:t>
            </w:r>
          </w:p>
        </w:tc>
        <w:tc>
          <w:tcPr>
            <w:tcW w:w="3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3</w:t>
            </w:r>
          </w:p>
        </w:tc>
        <w:tc>
          <w:tcPr>
            <w:tcW w:w="4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3.83 </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16.72 </w:t>
            </w:r>
          </w:p>
        </w:tc>
        <w:tc>
          <w:tcPr>
            <w:tcW w:w="36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6.34 </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27.68 </w:t>
            </w:r>
          </w:p>
        </w:tc>
        <w:tc>
          <w:tcPr>
            <w:tcW w:w="3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5.33 </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23.27 </w:t>
            </w:r>
          </w:p>
        </w:tc>
        <w:tc>
          <w:tcPr>
            <w:tcW w:w="33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2</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4.96 </w:t>
            </w:r>
          </w:p>
        </w:tc>
        <w:tc>
          <w:tcPr>
            <w:tcW w:w="59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21.66 </w:t>
            </w:r>
          </w:p>
        </w:tc>
        <w:tc>
          <w:tcPr>
            <w:tcW w:w="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3</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2.45 </w:t>
            </w:r>
          </w:p>
        </w:tc>
        <w:tc>
          <w:tcPr>
            <w:tcW w:w="59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10.67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合计</w:t>
            </w:r>
          </w:p>
        </w:tc>
        <w:tc>
          <w:tcPr>
            <w:tcW w:w="2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16</w:t>
            </w:r>
          </w:p>
        </w:tc>
        <w:tc>
          <w:tcPr>
            <w:tcW w:w="5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22.90 </w:t>
            </w:r>
          </w:p>
        </w:tc>
        <w:tc>
          <w:tcPr>
            <w:tcW w:w="3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3</w:t>
            </w:r>
          </w:p>
        </w:tc>
        <w:tc>
          <w:tcPr>
            <w:tcW w:w="4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3.83 </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16.72 </w:t>
            </w:r>
          </w:p>
        </w:tc>
        <w:tc>
          <w:tcPr>
            <w:tcW w:w="36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6.34 </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27.68 </w:t>
            </w:r>
          </w:p>
        </w:tc>
        <w:tc>
          <w:tcPr>
            <w:tcW w:w="3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5.33 </w:t>
            </w:r>
          </w:p>
        </w:tc>
        <w:tc>
          <w:tcPr>
            <w:tcW w:w="55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23.27 </w:t>
            </w:r>
          </w:p>
        </w:tc>
        <w:tc>
          <w:tcPr>
            <w:tcW w:w="33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2</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4.96 </w:t>
            </w:r>
          </w:p>
        </w:tc>
        <w:tc>
          <w:tcPr>
            <w:tcW w:w="59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21.66 </w:t>
            </w:r>
          </w:p>
        </w:tc>
        <w:tc>
          <w:tcPr>
            <w:tcW w:w="27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3</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2.45 </w:t>
            </w:r>
          </w:p>
        </w:tc>
        <w:tc>
          <w:tcPr>
            <w:tcW w:w="59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 xml:space="preserve">10.67 </w:t>
            </w:r>
          </w:p>
        </w:tc>
      </w:tr>
    </w:tbl>
    <w:p>
      <w:pPr>
        <w:rPr>
          <w:rFonts w:hint="eastAsia"/>
          <w:lang w:eastAsia="zh-CN"/>
        </w:rPr>
      </w:pPr>
      <w:r>
        <w:rPr>
          <w:rFonts w:hint="eastAsia"/>
          <w:lang w:eastAsia="zh-CN"/>
        </w:rPr>
        <w:br w:type="page"/>
      </w:r>
    </w:p>
    <w:p>
      <w:pPr>
        <w:pStyle w:val="2"/>
        <w:rPr>
          <w:rFonts w:hint="eastAsia"/>
          <w:lang w:eastAsia="zh-CN"/>
        </w:rPr>
      </w:pPr>
      <w:bookmarkStart w:id="27" w:name="_Toc9066"/>
      <w:r>
        <w:rPr>
          <w:rFonts w:hint="eastAsia"/>
          <w:lang w:eastAsia="zh-CN"/>
        </w:rPr>
        <w:t>六、资本筹措与利益调整</w:t>
      </w:r>
      <w:bookmarkEnd w:id="27"/>
    </w:p>
    <w:p>
      <w:pPr>
        <w:pStyle w:val="3"/>
        <w:rPr>
          <w:rFonts w:hint="eastAsia"/>
          <w:lang w:eastAsia="zh-CN"/>
        </w:rPr>
      </w:pPr>
      <w:bookmarkStart w:id="28" w:name="_Toc20806"/>
      <w:r>
        <w:rPr>
          <w:rFonts w:hint="eastAsia"/>
          <w:lang w:eastAsia="zh-CN"/>
        </w:rPr>
        <w:t>（一）资本筹措</w:t>
      </w:r>
      <w:bookmarkEnd w:id="28"/>
    </w:p>
    <w:p>
      <w:pPr>
        <w:rPr>
          <w:rFonts w:hint="eastAsia"/>
          <w:lang w:eastAsia="zh-CN"/>
        </w:rPr>
      </w:pPr>
      <w:r>
        <w:rPr>
          <w:rFonts w:hint="eastAsia"/>
          <w:lang w:eastAsia="zh-CN"/>
        </w:rPr>
        <w:t>本次规划低效用地再开发的资金来源主要来源有三个：</w:t>
      </w:r>
      <w:r>
        <w:rPr>
          <w:rFonts w:hint="eastAsia"/>
          <w:lang w:val="en-US" w:eastAsia="zh-CN"/>
        </w:rPr>
        <w:t>1、</w:t>
      </w:r>
      <w:r>
        <w:rPr>
          <w:rFonts w:hint="eastAsia"/>
          <w:lang w:eastAsia="zh-CN"/>
        </w:rPr>
        <w:t>为政府财政资金，具体各项目决策实施中，涉及公共管理与服务用地开发的以政府财政资金为主；</w:t>
      </w:r>
      <w:r>
        <w:rPr>
          <w:rFonts w:hint="eastAsia"/>
          <w:lang w:val="en-US" w:eastAsia="zh-CN"/>
        </w:rPr>
        <w:t>2、棚户区改造补助金，主要用于各棚户区改造项目；3、企业自筹资金，各项目开发商自筹的资金，是项目再开发的主要资金来源。</w:t>
      </w:r>
      <w:r>
        <w:rPr>
          <w:rFonts w:hint="eastAsia"/>
          <w:lang w:eastAsia="zh-CN"/>
        </w:rPr>
        <w:t>各利益相关方有能力出资者，按意愿出资，并享受相关权益。</w:t>
      </w:r>
    </w:p>
    <w:p>
      <w:pPr>
        <w:ind w:left="0" w:leftChars="0" w:firstLine="0" w:firstLineChars="0"/>
        <w:jc w:val="center"/>
        <w:rPr>
          <w:rFonts w:hint="eastAsia"/>
          <w:b/>
          <w:bCs/>
          <w:highlight w:val="none"/>
        </w:rPr>
      </w:pPr>
      <w:r>
        <w:rPr>
          <w:rFonts w:hint="eastAsia"/>
          <w:b/>
          <w:bCs/>
          <w:highlight w:val="none"/>
          <w:lang w:eastAsia="zh-CN"/>
        </w:rPr>
        <w:t>表</w:t>
      </w:r>
      <w:r>
        <w:rPr>
          <w:rFonts w:hint="eastAsia"/>
          <w:b/>
          <w:bCs/>
          <w:highlight w:val="none"/>
          <w:lang w:val="en-US" w:eastAsia="zh-CN"/>
        </w:rPr>
        <w:t xml:space="preserve">6.1 </w:t>
      </w:r>
      <w:r>
        <w:rPr>
          <w:rFonts w:hint="eastAsia"/>
          <w:b/>
          <w:bCs/>
          <w:highlight w:val="none"/>
        </w:rPr>
        <w:t>城镇低效用地</w:t>
      </w:r>
      <w:r>
        <w:rPr>
          <w:rFonts w:hint="eastAsia"/>
          <w:b/>
          <w:bCs/>
          <w:highlight w:val="none"/>
          <w:lang w:eastAsia="zh-CN"/>
        </w:rPr>
        <w:t>再开发建设投资细</w:t>
      </w:r>
      <w:r>
        <w:rPr>
          <w:rFonts w:hint="eastAsia"/>
          <w:b/>
          <w:bCs/>
          <w:highlight w:val="none"/>
        </w:rPr>
        <w:t>表</w:t>
      </w:r>
    </w:p>
    <w:p>
      <w:pPr>
        <w:ind w:firstLine="560"/>
        <w:jc w:val="right"/>
        <w:rPr>
          <w:rFonts w:hint="eastAsia" w:eastAsia="仿宋"/>
          <w:b/>
          <w:bCs/>
          <w:sz w:val="21"/>
          <w:szCs w:val="21"/>
          <w:highlight w:val="none"/>
          <w:lang w:eastAsia="zh-CN"/>
        </w:rPr>
      </w:pPr>
      <w:r>
        <w:rPr>
          <w:rFonts w:hint="eastAsia"/>
          <w:b/>
          <w:bCs/>
          <w:sz w:val="21"/>
          <w:szCs w:val="21"/>
          <w:highlight w:val="none"/>
          <w:lang w:eastAsia="zh-CN"/>
        </w:rPr>
        <w:t>单位：万元</w:t>
      </w:r>
      <w:r>
        <w:rPr>
          <w:rFonts w:hint="eastAsia"/>
          <w:b/>
          <w:bCs/>
          <w:sz w:val="21"/>
          <w:szCs w:val="21"/>
          <w:highlight w:val="none"/>
          <w:lang w:val="en-US" w:eastAsia="zh-CN"/>
        </w:rPr>
        <w:t>/</w:t>
      </w:r>
      <w:r>
        <w:rPr>
          <w:rFonts w:hint="eastAsia"/>
          <w:b/>
          <w:bCs/>
          <w:sz w:val="21"/>
          <w:szCs w:val="21"/>
          <w:highlight w:val="none"/>
          <w:lang w:eastAsia="zh-CN"/>
        </w:rPr>
        <w:t>公顷</w:t>
      </w:r>
    </w:p>
    <w:tbl>
      <w:tblPr>
        <w:tblStyle w:val="16"/>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66"/>
        <w:gridCol w:w="1110"/>
        <w:gridCol w:w="540"/>
        <w:gridCol w:w="780"/>
        <w:gridCol w:w="525"/>
        <w:gridCol w:w="570"/>
        <w:gridCol w:w="1305"/>
        <w:gridCol w:w="510"/>
        <w:gridCol w:w="630"/>
        <w:gridCol w:w="555"/>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blHeader/>
        </w:trPr>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地块编号</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所在建制镇或街道</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权属性质</w:t>
            </w:r>
          </w:p>
        </w:tc>
        <w:tc>
          <w:tcPr>
            <w:tcW w:w="18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w:t>
            </w:r>
          </w:p>
        </w:tc>
        <w:tc>
          <w:tcPr>
            <w:tcW w:w="38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blHead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主导用途</w:t>
            </w:r>
          </w:p>
        </w:tc>
        <w:tc>
          <w:tcPr>
            <w:tcW w:w="525"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1305"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主导用途</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单位投资</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开发建设时间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LYRY-1</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0.58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0.58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LYRY-2</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0.48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0.48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LYRY-3</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LYRY-4</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0.27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0.27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MSJY-1</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0.36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0.36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MSJY-2</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0.33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0.33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SZF-1</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0.45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0.45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SZF-2</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0.39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0.39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TYGB-1</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0.51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0.51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4760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TYGB-2</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0.54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0.54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8400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TYGB-3</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集体</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0.38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0.38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8400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TYGB-4</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集体</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0.18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0.18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8400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ZYCJ-1</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0.42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0.42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ZYCJ-2</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0.45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0.45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ZYCJ-3</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0.51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0.51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ZYCJ-4</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国有</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0.32 </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0.32 </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9800</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2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305"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rPr>
          <w:rFonts w:hint="eastAsia"/>
          <w:lang w:eastAsia="zh-CN"/>
        </w:rPr>
      </w:pPr>
      <w:r>
        <w:rPr>
          <w:rFonts w:hint="eastAsia"/>
          <w:lang w:eastAsia="zh-CN"/>
        </w:rPr>
        <w:t>城镇低效用地再开发地块的单位投资额，在调研以往项目的基础上，结合合作市实际经济社会发展水平分析确定，与规划容积率正相关，最低</w:t>
      </w:r>
      <w:r>
        <w:rPr>
          <w:rFonts w:hint="eastAsia"/>
          <w:lang w:val="en-US" w:eastAsia="zh-CN"/>
        </w:rPr>
        <w:t>4760万元每公顷，最高9800万元每公顷。</w:t>
      </w:r>
    </w:p>
    <w:p>
      <w:pPr>
        <w:rPr>
          <w:rFonts w:hint="eastAsia"/>
          <w:lang w:val="en-US" w:eastAsia="zh-CN"/>
        </w:rPr>
      </w:pPr>
      <w:r>
        <w:rPr>
          <w:rFonts w:hint="eastAsia"/>
          <w:lang w:eastAsia="zh-CN"/>
        </w:rPr>
        <w:t>再开发区域土地权属以国有为主，集体土地较少占比仅</w:t>
      </w:r>
      <w:r>
        <w:rPr>
          <w:rFonts w:hint="eastAsia"/>
          <w:lang w:val="en-US" w:eastAsia="zh-CN"/>
        </w:rPr>
        <w:t>0.79%，经排查再开发区域涉及政府、企业、集体、个人权属清晰，拆迁阻力较小，同时地势平坦，再开发技术难度低，额外成本少。</w:t>
      </w:r>
    </w:p>
    <w:p>
      <w:pPr>
        <w:pStyle w:val="3"/>
        <w:rPr>
          <w:rFonts w:hint="eastAsia"/>
          <w:lang w:val="en-US" w:eastAsia="zh-CN"/>
        </w:rPr>
      </w:pPr>
      <w:bookmarkStart w:id="29" w:name="_Toc31559"/>
      <w:r>
        <w:rPr>
          <w:rFonts w:hint="eastAsia"/>
          <w:lang w:val="en-US" w:eastAsia="zh-CN"/>
        </w:rPr>
        <w:t>（二）利益调整</w:t>
      </w:r>
      <w:bookmarkEnd w:id="29"/>
    </w:p>
    <w:p>
      <w:pPr>
        <w:rPr>
          <w:rFonts w:hint="eastAsia"/>
          <w:lang w:val="en-US" w:eastAsia="zh-CN"/>
        </w:rPr>
      </w:pPr>
      <w:r>
        <w:rPr>
          <w:rFonts w:hint="eastAsia"/>
          <w:lang w:val="en-US" w:eastAsia="zh-CN"/>
        </w:rPr>
        <w:t>综合考虑再开发区域涉及的政府、企业、土地权利人等不同利益主体的权益，规范增值收益的分配模式，平衡政府、企业、土地权利人三方的利益。</w:t>
      </w:r>
    </w:p>
    <w:p>
      <w:pPr>
        <w:pStyle w:val="4"/>
        <w:rPr>
          <w:rFonts w:hint="eastAsia"/>
          <w:lang w:val="en-US" w:eastAsia="zh-CN"/>
        </w:rPr>
      </w:pPr>
      <w:r>
        <w:rPr>
          <w:rFonts w:hint="eastAsia"/>
          <w:lang w:val="en-US" w:eastAsia="zh-CN"/>
        </w:rPr>
        <w:t>1、明确各宗地边界及其权利人</w:t>
      </w:r>
    </w:p>
    <w:p>
      <w:pPr>
        <w:rPr>
          <w:rFonts w:hint="eastAsia"/>
          <w:lang w:val="en-US" w:eastAsia="zh-CN"/>
        </w:rPr>
      </w:pPr>
      <w:r>
        <w:rPr>
          <w:rFonts w:hint="eastAsia"/>
          <w:lang w:val="en-US" w:eastAsia="zh-CN"/>
        </w:rPr>
        <w:t>低效用地再开发前应对宗地边界做确认，处理好宗地遗留问题，维护其权利人的合法权益，避免在开发过程中产生纠纷，同时应让权利人享受应得的权益。</w:t>
      </w:r>
    </w:p>
    <w:p>
      <w:pPr>
        <w:pStyle w:val="4"/>
        <w:rPr>
          <w:rFonts w:hint="eastAsia"/>
          <w:lang w:val="en-US" w:eastAsia="zh-CN"/>
        </w:rPr>
      </w:pPr>
      <w:r>
        <w:rPr>
          <w:rFonts w:hint="eastAsia"/>
          <w:lang w:val="en-US" w:eastAsia="zh-CN"/>
        </w:rPr>
        <w:t>2、规范土地流转程序</w:t>
      </w:r>
    </w:p>
    <w:p>
      <w:pPr>
        <w:rPr>
          <w:rFonts w:hint="eastAsia"/>
          <w:lang w:val="en-US" w:eastAsia="zh-CN"/>
        </w:rPr>
      </w:pPr>
      <w:r>
        <w:rPr>
          <w:rFonts w:hint="eastAsia"/>
          <w:lang w:val="en-US" w:eastAsia="zh-CN"/>
        </w:rPr>
        <w:t>土地出让过程中企业应按法律法规要求足额缴纳土地出让费、营业税、土地增值税等税费，同时企业也享受开发物业销售带来的利润。</w:t>
      </w:r>
    </w:p>
    <w:p>
      <w:pPr>
        <w:pStyle w:val="4"/>
        <w:numPr>
          <w:ilvl w:val="0"/>
          <w:numId w:val="4"/>
        </w:numPr>
        <w:rPr>
          <w:rFonts w:hint="eastAsia"/>
          <w:lang w:val="en-US" w:eastAsia="zh-CN"/>
        </w:rPr>
      </w:pPr>
      <w:r>
        <w:rPr>
          <w:rFonts w:hint="eastAsia"/>
          <w:lang w:val="en-US" w:eastAsia="zh-CN"/>
        </w:rPr>
        <w:t>保障棚户区住户权益</w:t>
      </w:r>
    </w:p>
    <w:p>
      <w:pPr>
        <w:rPr>
          <w:rFonts w:hint="eastAsia"/>
          <w:lang w:val="en-US" w:eastAsia="zh-CN"/>
        </w:rPr>
      </w:pPr>
      <w:r>
        <w:rPr>
          <w:rFonts w:hint="eastAsia"/>
          <w:lang w:val="en-US" w:eastAsia="zh-CN"/>
        </w:rPr>
        <w:t>拆迁前应充分征求各住户意愿，采用适宜的安置办法，不得侵害在住人的合法权益。</w:t>
      </w:r>
    </w:p>
    <w:p>
      <w:pPr>
        <w:pStyle w:val="2"/>
        <w:rPr>
          <w:rFonts w:hint="eastAsia"/>
          <w:lang w:eastAsia="zh-CN"/>
        </w:rPr>
      </w:pPr>
      <w:bookmarkStart w:id="30" w:name="_Toc16951"/>
      <w:r>
        <w:rPr>
          <w:rFonts w:hint="eastAsia"/>
          <w:lang w:eastAsia="zh-CN"/>
        </w:rPr>
        <w:t>七、效益评估</w:t>
      </w:r>
      <w:bookmarkEnd w:id="30"/>
    </w:p>
    <w:p>
      <w:pPr>
        <w:pStyle w:val="3"/>
        <w:numPr>
          <w:ilvl w:val="0"/>
          <w:numId w:val="0"/>
        </w:numPr>
        <w:rPr>
          <w:rFonts w:hint="eastAsia"/>
          <w:lang w:eastAsia="zh-CN"/>
        </w:rPr>
      </w:pPr>
      <w:bookmarkStart w:id="31" w:name="_Toc16254"/>
      <w:r>
        <w:rPr>
          <w:rFonts w:hint="eastAsia"/>
          <w:lang w:eastAsia="zh-CN"/>
        </w:rPr>
        <w:t>（一）完善城市职能，提升人居环境</w:t>
      </w:r>
      <w:bookmarkEnd w:id="31"/>
    </w:p>
    <w:p>
      <w:pPr>
        <w:rPr>
          <w:rFonts w:hint="eastAsia"/>
          <w:lang w:eastAsia="zh-CN"/>
        </w:rPr>
      </w:pPr>
      <w:r>
        <w:rPr>
          <w:rFonts w:hint="eastAsia"/>
          <w:lang w:eastAsia="zh-CN"/>
        </w:rPr>
        <w:t>通过本次低效用地再开发项目，进一步减少城区低效用地，改善合作市城市面貌，巩固增强了合作市</w:t>
      </w:r>
      <w:r>
        <w:rPr>
          <w:rFonts w:hint="eastAsia"/>
          <w:lang w:val="en-US" w:eastAsia="zh-CN"/>
        </w:rPr>
        <w:t>政治经济、旅游服务、商贸物流、教育培训、生活居住等五大职能。建成小区整齐划一，同时专业物业公司管理，安全及环境都将会有极大改善。</w:t>
      </w:r>
    </w:p>
    <w:p>
      <w:pPr>
        <w:pStyle w:val="3"/>
        <w:numPr>
          <w:ilvl w:val="0"/>
          <w:numId w:val="0"/>
        </w:numPr>
        <w:rPr>
          <w:rFonts w:hint="eastAsia"/>
          <w:lang w:eastAsia="zh-CN"/>
        </w:rPr>
      </w:pPr>
      <w:bookmarkStart w:id="32" w:name="_Toc11928"/>
      <w:r>
        <w:rPr>
          <w:rFonts w:hint="eastAsia"/>
          <w:lang w:eastAsia="zh-CN"/>
        </w:rPr>
        <w:t>（二）增加住房供应，缓解住房压力</w:t>
      </w:r>
      <w:bookmarkEnd w:id="32"/>
    </w:p>
    <w:p>
      <w:pPr>
        <w:rPr>
          <w:rFonts w:hint="eastAsia"/>
          <w:lang w:eastAsia="zh-CN"/>
        </w:rPr>
      </w:pPr>
      <w:r>
        <w:rPr>
          <w:rFonts w:hint="eastAsia"/>
          <w:lang w:eastAsia="zh-CN"/>
        </w:rPr>
        <w:t>本次规划新增住宅建筑面积</w:t>
      </w:r>
      <w:r>
        <w:rPr>
          <w:rFonts w:hint="eastAsia"/>
          <w:lang w:val="en-US" w:eastAsia="zh-CN"/>
        </w:rPr>
        <w:t>418198m</w:t>
      </w:r>
      <w:r>
        <w:rPr>
          <w:rFonts w:hint="eastAsia"/>
          <w:vertAlign w:val="superscript"/>
          <w:lang w:val="en-US" w:eastAsia="zh-CN"/>
        </w:rPr>
        <w:t>2</w:t>
      </w:r>
      <w:r>
        <w:rPr>
          <w:rFonts w:hint="eastAsia"/>
          <w:lang w:val="en-US" w:eastAsia="zh-CN"/>
        </w:rPr>
        <w:t>，能够增加3400~4000套住房，可以极大的缓解楼市上涨的压力。同时棚户区改造部分，解决了棚户区贫困群众的居住问题，极大地提高了当地人民的居住条件，及生活水平。</w:t>
      </w:r>
    </w:p>
    <w:p>
      <w:pPr>
        <w:pStyle w:val="3"/>
        <w:numPr>
          <w:ilvl w:val="0"/>
          <w:numId w:val="0"/>
        </w:numPr>
        <w:rPr>
          <w:rFonts w:hint="eastAsia"/>
          <w:lang w:eastAsia="zh-CN"/>
        </w:rPr>
      </w:pPr>
      <w:bookmarkStart w:id="33" w:name="_Toc21738"/>
      <w:r>
        <w:rPr>
          <w:rFonts w:hint="eastAsia"/>
          <w:lang w:eastAsia="zh-CN"/>
        </w:rPr>
        <w:t>（三）完善基础设施配套，增加城市绿地面积</w:t>
      </w:r>
      <w:bookmarkEnd w:id="33"/>
    </w:p>
    <w:p>
      <w:pPr>
        <w:rPr>
          <w:rFonts w:hint="eastAsia"/>
          <w:lang w:eastAsia="zh-CN"/>
        </w:rPr>
      </w:pPr>
      <w:r>
        <w:rPr>
          <w:rFonts w:hint="eastAsia"/>
          <w:lang w:eastAsia="zh-CN"/>
        </w:rPr>
        <w:t>低效用地再开发对合作市的城镇化进程有极大地促进作用，通过拆迁改造提升社区基础配套设施，完善社区医疗、休闲、公共服务功能，消除了安全隐患。部分低效用地临河分布，阻碍了沿河景观的整体性，通过此次低效用地再开发规划，恢复为街头绿地，拓宽市民休憩，活动空间。</w:t>
      </w:r>
    </w:p>
    <w:p>
      <w:pPr>
        <w:pStyle w:val="2"/>
        <w:rPr>
          <w:rFonts w:hint="eastAsia"/>
          <w:lang w:eastAsia="zh-CN"/>
        </w:rPr>
      </w:pPr>
      <w:bookmarkStart w:id="34" w:name="_Toc19903"/>
      <w:r>
        <w:rPr>
          <w:rFonts w:hint="eastAsia"/>
          <w:lang w:eastAsia="zh-CN"/>
        </w:rPr>
        <w:t>八、保障措施</w:t>
      </w:r>
      <w:bookmarkEnd w:id="34"/>
    </w:p>
    <w:p>
      <w:pPr>
        <w:pStyle w:val="3"/>
        <w:numPr>
          <w:ilvl w:val="0"/>
          <w:numId w:val="0"/>
        </w:numPr>
        <w:rPr>
          <w:rFonts w:hint="eastAsia"/>
          <w:lang w:eastAsia="zh-CN"/>
        </w:rPr>
      </w:pPr>
      <w:bookmarkStart w:id="35" w:name="_Toc3024"/>
      <w:r>
        <w:rPr>
          <w:rFonts w:hint="eastAsia"/>
          <w:lang w:eastAsia="zh-CN"/>
        </w:rPr>
        <w:t>（一）成立工作小组，统筹协调</w:t>
      </w:r>
      <w:bookmarkEnd w:id="35"/>
    </w:p>
    <w:bookmarkEnd w:id="5"/>
    <w:bookmarkEnd w:id="15"/>
    <w:bookmarkEnd w:id="16"/>
    <w:p>
      <w:pPr>
        <w:ind w:firstLine="560"/>
      </w:pPr>
      <w:r>
        <w:rPr>
          <w:rFonts w:hint="eastAsia"/>
          <w:lang w:eastAsia="zh-CN"/>
        </w:rPr>
        <w:t>组织有经验人员成立工作小组，统筹协调。充分了解和妥善解决群众利益诉求，做好民意调查，充分尊重原土地使用权人的意愿，未征得原土地使用权人同意的，不得进行改造开发。同时明确各工作小组职责，解决规划期内出现的拆迁协商、资金安排、权属纠纷等相关问题。</w:t>
      </w:r>
    </w:p>
    <w:p>
      <w:pPr>
        <w:pStyle w:val="3"/>
        <w:numPr>
          <w:ilvl w:val="0"/>
          <w:numId w:val="0"/>
        </w:numPr>
        <w:rPr>
          <w:rFonts w:hint="eastAsia"/>
          <w:lang w:eastAsia="zh-CN"/>
        </w:rPr>
      </w:pPr>
      <w:bookmarkStart w:id="36" w:name="_Toc21530"/>
      <w:r>
        <w:rPr>
          <w:rFonts w:hint="eastAsia"/>
          <w:lang w:eastAsia="zh-CN"/>
        </w:rPr>
        <w:t>（二）提高审查报批效率，强化实施管理</w:t>
      </w:r>
      <w:bookmarkEnd w:id="36"/>
    </w:p>
    <w:p>
      <w:pPr>
        <w:ind w:firstLine="560"/>
        <w:rPr>
          <w:rFonts w:hint="eastAsia"/>
          <w:lang w:eastAsia="zh-CN"/>
        </w:rPr>
      </w:pPr>
      <w:r>
        <w:rPr>
          <w:rFonts w:hint="eastAsia"/>
          <w:lang w:eastAsia="zh-CN"/>
        </w:rPr>
        <w:t>市国土资源部门及相关主管部门要增强服务意识，加快审查报批，积极服务改造开发工作，及时做好项目审批、实施、竣工验收等及其上图入库。市国土资源部门要明确具体操作办法，加强对改造开发实施监管；及时研究制定实施细则，以本次再开发区域为基础，细化各项政策措施，加强对市县相关工作的督促检查和指导支持。</w:t>
      </w:r>
    </w:p>
    <w:p>
      <w:pPr>
        <w:pStyle w:val="3"/>
        <w:numPr>
          <w:ilvl w:val="0"/>
          <w:numId w:val="0"/>
        </w:numPr>
        <w:rPr>
          <w:rFonts w:hint="eastAsia"/>
          <w:lang w:eastAsia="zh-CN"/>
        </w:rPr>
      </w:pPr>
      <w:bookmarkStart w:id="37" w:name="_Toc16185"/>
      <w:r>
        <w:rPr>
          <w:rFonts w:hint="eastAsia"/>
          <w:lang w:eastAsia="zh-CN"/>
        </w:rPr>
        <w:t>（三）加强宣传引导，严守纪律</w:t>
      </w:r>
      <w:bookmarkEnd w:id="37"/>
    </w:p>
    <w:p>
      <w:pPr>
        <w:ind w:firstLine="560"/>
      </w:pPr>
      <w:r>
        <w:rPr>
          <w:rFonts w:hint="eastAsia"/>
          <w:lang w:eastAsia="zh-CN"/>
        </w:rPr>
        <w:t>工作小组应</w:t>
      </w:r>
      <w:r>
        <w:rPr>
          <w:rFonts w:hint="eastAsia"/>
        </w:rPr>
        <w:t>密切跟踪政策实施进展情况，强化风险评估，做好政策解读，加强舆论引导，回应社会关切，营造有利于改造开发工作的良好氛围。加强总结评估，对于政策实施中出现的问题，要及时研究解决。</w:t>
      </w:r>
      <w:bookmarkStart w:id="39" w:name="_GoBack"/>
      <w:bookmarkEnd w:id="39"/>
    </w:p>
    <w:p>
      <w:pPr>
        <w:ind w:firstLine="560"/>
        <w:rPr>
          <w:rFonts w:hint="eastAsia"/>
        </w:rPr>
        <w:sectPr>
          <w:pgSz w:w="11906" w:h="16838"/>
          <w:pgMar w:top="1440" w:right="1800" w:bottom="1440" w:left="1800" w:header="851" w:footer="992" w:gutter="0"/>
          <w:cols w:space="425" w:num="1"/>
          <w:docGrid w:type="lines" w:linePitch="312" w:charSpace="0"/>
        </w:sectPr>
      </w:pPr>
      <w:r>
        <w:rPr>
          <w:rFonts w:hint="eastAsia"/>
        </w:rPr>
        <w:t>建立责任追究机制，加强廉政风险排查，</w:t>
      </w:r>
      <w:r>
        <w:rPr>
          <w:rFonts w:hint="eastAsia"/>
          <w:lang w:eastAsia="zh-CN"/>
        </w:rPr>
        <w:t>巩固纪律</w:t>
      </w:r>
      <w:r>
        <w:rPr>
          <w:rFonts w:hint="eastAsia"/>
        </w:rPr>
        <w:t>；规范资金管理，项目收益要公开透明，确保资金使用安全高效；严格城镇低效用地再开发监督管理，加强项目实施跟踪评估，保证改造开发工作规范健康开展；切实增强廉政意识，确保廉洁自律。</w:t>
      </w:r>
    </w:p>
    <w:p>
      <w:pPr>
        <w:pStyle w:val="2"/>
        <w:rPr>
          <w:rFonts w:hint="eastAsia"/>
          <w:lang w:eastAsia="zh-CN"/>
        </w:rPr>
      </w:pPr>
      <w:bookmarkStart w:id="38" w:name="_Toc3993"/>
      <w:r>
        <w:rPr>
          <w:rFonts w:hint="eastAsia"/>
          <w:lang w:eastAsia="zh-CN"/>
        </w:rPr>
        <w:t>附表：</w:t>
      </w:r>
      <w:bookmarkEnd w:id="38"/>
    </w:p>
    <w:p>
      <w:pPr>
        <w:pStyle w:val="4"/>
        <w:jc w:val="center"/>
        <w:rPr>
          <w:rFonts w:hint="eastAsia"/>
          <w:lang w:eastAsia="zh-CN"/>
        </w:rPr>
      </w:pPr>
      <w:r>
        <w:rPr>
          <w:rFonts w:hint="eastAsia"/>
          <w:lang w:eastAsia="zh-CN"/>
        </w:rPr>
        <w:t>附表一</w:t>
      </w:r>
      <w:r>
        <w:rPr>
          <w:rFonts w:hint="eastAsia"/>
          <w:lang w:val="en-US" w:eastAsia="zh-CN"/>
        </w:rPr>
        <w:t xml:space="preserve"> </w:t>
      </w:r>
      <w:r>
        <w:rPr>
          <w:rFonts w:hint="eastAsia"/>
          <w:lang w:eastAsia="zh-CN"/>
        </w:rPr>
        <w:t>合作市城镇低效用地现状结构及用地强度表</w:t>
      </w:r>
    </w:p>
    <w:p>
      <w:pPr>
        <w:jc w:val="right"/>
        <w:rPr>
          <w:rFonts w:hint="eastAsia"/>
          <w:lang w:eastAsia="zh-CN"/>
        </w:rPr>
      </w:pPr>
      <w:r>
        <w:rPr>
          <w:rFonts w:hint="eastAsia"/>
          <w:b/>
          <w:bCs/>
          <w:sz w:val="21"/>
          <w:szCs w:val="21"/>
          <w:highlight w:val="none"/>
          <w:lang w:eastAsia="zh-CN"/>
        </w:rPr>
        <w:t>单位：公顷</w:t>
      </w:r>
    </w:p>
    <w:tbl>
      <w:tblPr>
        <w:tblStyle w:val="16"/>
        <w:tblW w:w="139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60"/>
        <w:gridCol w:w="884"/>
        <w:gridCol w:w="693"/>
        <w:gridCol w:w="820"/>
        <w:gridCol w:w="507"/>
        <w:gridCol w:w="514"/>
        <w:gridCol w:w="419"/>
        <w:gridCol w:w="750"/>
        <w:gridCol w:w="600"/>
        <w:gridCol w:w="795"/>
        <w:gridCol w:w="540"/>
        <w:gridCol w:w="540"/>
        <w:gridCol w:w="540"/>
        <w:gridCol w:w="645"/>
        <w:gridCol w:w="585"/>
        <w:gridCol w:w="735"/>
        <w:gridCol w:w="570"/>
        <w:gridCol w:w="808"/>
        <w:gridCol w:w="758"/>
        <w:gridCol w:w="662"/>
        <w:gridCol w:w="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用途</w:t>
            </w:r>
          </w:p>
        </w:tc>
        <w:tc>
          <w:tcPr>
            <w:tcW w:w="29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旧城镇</w:t>
            </w:r>
          </w:p>
        </w:tc>
        <w:tc>
          <w:tcPr>
            <w:tcW w:w="22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旧村庄</w:t>
            </w:r>
          </w:p>
        </w:tc>
        <w:tc>
          <w:tcPr>
            <w:tcW w:w="24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旧厂矿</w:t>
            </w:r>
          </w:p>
        </w:tc>
        <w:tc>
          <w:tcPr>
            <w:tcW w:w="253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其他</w:t>
            </w:r>
          </w:p>
        </w:tc>
        <w:tc>
          <w:tcPr>
            <w:tcW w:w="28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规模</w:t>
            </w:r>
          </w:p>
        </w:tc>
        <w:tc>
          <w:tcPr>
            <w:tcW w:w="8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规模</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规模</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规模</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规模</w:t>
            </w: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88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69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8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51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41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9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54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64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58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80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75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88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9.2836 </w:t>
            </w:r>
          </w:p>
        </w:tc>
        <w:tc>
          <w:tcPr>
            <w:tcW w:w="69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0.19 </w:t>
            </w:r>
          </w:p>
        </w:tc>
        <w:tc>
          <w:tcPr>
            <w:tcW w:w="8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0.31 </w:t>
            </w:r>
          </w:p>
        </w:tc>
        <w:tc>
          <w:tcPr>
            <w:tcW w:w="5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0.31 </w:t>
            </w:r>
          </w:p>
        </w:tc>
        <w:tc>
          <w:tcPr>
            <w:tcW w:w="5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9.2836 </w:t>
            </w:r>
          </w:p>
        </w:tc>
        <w:tc>
          <w:tcPr>
            <w:tcW w:w="75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0.18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0.31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88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35.0400 </w:t>
            </w:r>
          </w:p>
        </w:tc>
        <w:tc>
          <w:tcPr>
            <w:tcW w:w="69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0.70 </w:t>
            </w:r>
          </w:p>
        </w:tc>
        <w:tc>
          <w:tcPr>
            <w:tcW w:w="8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0.42 </w:t>
            </w:r>
          </w:p>
        </w:tc>
        <w:tc>
          <w:tcPr>
            <w:tcW w:w="5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0.42 </w:t>
            </w:r>
          </w:p>
        </w:tc>
        <w:tc>
          <w:tcPr>
            <w:tcW w:w="5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419"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0.1816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0.11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0.27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0.27 </w:t>
            </w:r>
          </w:p>
        </w:tc>
        <w:tc>
          <w:tcPr>
            <w:tcW w:w="6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35.2216 </w:t>
            </w:r>
          </w:p>
        </w:tc>
        <w:tc>
          <w:tcPr>
            <w:tcW w:w="75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0.68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0.42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88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4.8386 </w:t>
            </w:r>
          </w:p>
        </w:tc>
        <w:tc>
          <w:tcPr>
            <w:tcW w:w="69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0.10 </w:t>
            </w:r>
          </w:p>
        </w:tc>
        <w:tc>
          <w:tcPr>
            <w:tcW w:w="8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0.35 </w:t>
            </w:r>
          </w:p>
        </w:tc>
        <w:tc>
          <w:tcPr>
            <w:tcW w:w="5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0.35 </w:t>
            </w:r>
          </w:p>
        </w:tc>
        <w:tc>
          <w:tcPr>
            <w:tcW w:w="51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50"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1.4896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0.89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 </w:t>
            </w:r>
          </w:p>
        </w:tc>
        <w:tc>
          <w:tcPr>
            <w:tcW w:w="6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6.3282 </w:t>
            </w:r>
          </w:p>
        </w:tc>
        <w:tc>
          <w:tcPr>
            <w:tcW w:w="75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0.12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0.33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88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0.8318 </w:t>
            </w:r>
          </w:p>
        </w:tc>
        <w:tc>
          <w:tcPr>
            <w:tcW w:w="69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0.02 </w:t>
            </w:r>
          </w:p>
        </w:tc>
        <w:tc>
          <w:tcPr>
            <w:tcW w:w="8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0.54 </w:t>
            </w:r>
          </w:p>
        </w:tc>
        <w:tc>
          <w:tcPr>
            <w:tcW w:w="5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0.54 </w:t>
            </w:r>
          </w:p>
        </w:tc>
        <w:tc>
          <w:tcPr>
            <w:tcW w:w="51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50"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0.8318 </w:t>
            </w:r>
          </w:p>
        </w:tc>
        <w:tc>
          <w:tcPr>
            <w:tcW w:w="75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0.02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0.54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其他用地</w:t>
            </w:r>
          </w:p>
        </w:tc>
        <w:tc>
          <w:tcPr>
            <w:tcW w:w="88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419"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0.0000 </w:t>
            </w:r>
          </w:p>
        </w:tc>
        <w:tc>
          <w:tcPr>
            <w:tcW w:w="75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总计</w:t>
            </w:r>
          </w:p>
        </w:tc>
        <w:tc>
          <w:tcPr>
            <w:tcW w:w="88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49.9940 </w:t>
            </w:r>
          </w:p>
        </w:tc>
        <w:tc>
          <w:tcPr>
            <w:tcW w:w="69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8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41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1.6712 </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7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7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51.6652 </w:t>
            </w:r>
          </w:p>
        </w:tc>
        <w:tc>
          <w:tcPr>
            <w:tcW w:w="75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keepNext w:val="0"/>
        <w:keepLines w:val="0"/>
        <w:widowControl/>
        <w:suppressLineNumbers w:val="0"/>
        <w:ind w:left="0" w:leftChars="0" w:firstLine="0" w:firstLineChars="0"/>
        <w:jc w:val="center"/>
        <w:textAlignment w:val="center"/>
        <w:rPr>
          <w:rFonts w:hint="eastAsia"/>
          <w:lang w:eastAsia="zh-CN"/>
        </w:rPr>
      </w:pPr>
      <w:r>
        <w:rPr>
          <w:rFonts w:hint="eastAsia" w:ascii="宋体" w:hAnsi="宋体" w:eastAsia="宋体" w:cs="宋体"/>
          <w:i w:val="0"/>
          <w:color w:val="000000"/>
          <w:kern w:val="0"/>
          <w:sz w:val="21"/>
          <w:szCs w:val="21"/>
          <w:u w:val="none"/>
          <w:lang w:val="en-US" w:eastAsia="zh-CN" w:bidi="ar"/>
        </w:rPr>
        <w:br w:type="page"/>
      </w:r>
    </w:p>
    <w:p>
      <w:pPr>
        <w:pStyle w:val="4"/>
        <w:jc w:val="center"/>
        <w:rPr>
          <w:rFonts w:hint="eastAsia"/>
          <w:lang w:eastAsia="zh-CN"/>
        </w:rPr>
      </w:pPr>
      <w:r>
        <w:rPr>
          <w:rFonts w:hint="eastAsia"/>
          <w:lang w:eastAsia="zh-CN"/>
        </w:rPr>
        <w:t>附表二</w:t>
      </w:r>
      <w:r>
        <w:rPr>
          <w:rFonts w:hint="eastAsia"/>
          <w:lang w:val="en-US" w:eastAsia="zh-CN"/>
        </w:rPr>
        <w:t xml:space="preserve"> </w:t>
      </w:r>
      <w:r>
        <w:rPr>
          <w:rFonts w:hint="eastAsia"/>
          <w:lang w:eastAsia="zh-CN"/>
        </w:rPr>
        <w:t>合作市城镇低效用地潜力分析表</w:t>
      </w:r>
    </w:p>
    <w:p>
      <w:pPr>
        <w:jc w:val="right"/>
        <w:rPr>
          <w:rFonts w:hint="eastAsia"/>
          <w:lang w:eastAsia="zh-CN"/>
        </w:rPr>
      </w:pPr>
      <w:r>
        <w:rPr>
          <w:rFonts w:hint="eastAsia"/>
          <w:b/>
          <w:bCs/>
          <w:sz w:val="21"/>
          <w:szCs w:val="21"/>
          <w:highlight w:val="none"/>
          <w:lang w:eastAsia="zh-CN"/>
        </w:rPr>
        <w:t>单位：公顷</w:t>
      </w:r>
    </w:p>
    <w:tbl>
      <w:tblPr>
        <w:tblStyle w:val="16"/>
        <w:tblW w:w="139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37"/>
        <w:gridCol w:w="1082"/>
        <w:gridCol w:w="954"/>
        <w:gridCol w:w="1352"/>
        <w:gridCol w:w="890"/>
        <w:gridCol w:w="890"/>
        <w:gridCol w:w="801"/>
        <w:gridCol w:w="1020"/>
        <w:gridCol w:w="953"/>
        <w:gridCol w:w="1348"/>
        <w:gridCol w:w="988"/>
        <w:gridCol w:w="804"/>
        <w:gridCol w:w="1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16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用途</w:t>
            </w:r>
          </w:p>
        </w:tc>
        <w:tc>
          <w:tcPr>
            <w:tcW w:w="33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旧城镇</w:t>
            </w:r>
          </w:p>
        </w:tc>
        <w:tc>
          <w:tcPr>
            <w:tcW w:w="25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旧村庄</w:t>
            </w:r>
          </w:p>
        </w:tc>
        <w:tc>
          <w:tcPr>
            <w:tcW w:w="33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旧厂矿</w:t>
            </w:r>
          </w:p>
        </w:tc>
        <w:tc>
          <w:tcPr>
            <w:tcW w:w="30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现状规模</w:t>
            </w:r>
          </w:p>
        </w:tc>
        <w:tc>
          <w:tcPr>
            <w:tcW w:w="13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可实现潜力</w:t>
            </w:r>
          </w:p>
        </w:tc>
        <w:tc>
          <w:tcPr>
            <w:tcW w:w="1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现状规模</w:t>
            </w: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可实现潜力</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现状规模</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可实现潜力</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现状规模</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可实现潜力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108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95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1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89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89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102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95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98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80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10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9.2836 </w:t>
            </w:r>
          </w:p>
        </w:tc>
        <w:tc>
          <w:tcPr>
            <w:tcW w:w="9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0.19 </w:t>
            </w:r>
          </w:p>
        </w:tc>
        <w:tc>
          <w:tcPr>
            <w:tcW w:w="13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c>
          <w:tcPr>
            <w:tcW w:w="1348"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10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35.0400 </w:t>
            </w:r>
          </w:p>
        </w:tc>
        <w:tc>
          <w:tcPr>
            <w:tcW w:w="9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0.70 </w:t>
            </w:r>
          </w:p>
        </w:tc>
        <w:tc>
          <w:tcPr>
            <w:tcW w:w="1352" w:type="dxa"/>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21.2278 </w:t>
            </w: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0.1816 </w:t>
            </w:r>
          </w:p>
        </w:tc>
        <w:tc>
          <w:tcPr>
            <w:tcW w:w="95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0.11 </w:t>
            </w:r>
          </w:p>
        </w:tc>
        <w:tc>
          <w:tcPr>
            <w:tcW w:w="134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0.1816 </w:t>
            </w:r>
          </w:p>
        </w:tc>
        <w:tc>
          <w:tcPr>
            <w:tcW w:w="988"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10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4.8386 </w:t>
            </w:r>
          </w:p>
        </w:tc>
        <w:tc>
          <w:tcPr>
            <w:tcW w:w="9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0.10 </w:t>
            </w:r>
          </w:p>
        </w:tc>
        <w:tc>
          <w:tcPr>
            <w:tcW w:w="13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1.4896 </w:t>
            </w:r>
          </w:p>
        </w:tc>
        <w:tc>
          <w:tcPr>
            <w:tcW w:w="95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0.89 </w:t>
            </w:r>
          </w:p>
        </w:tc>
        <w:tc>
          <w:tcPr>
            <w:tcW w:w="134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1.4896 </w:t>
            </w:r>
          </w:p>
        </w:tc>
        <w:tc>
          <w:tcPr>
            <w:tcW w:w="988"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10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0.8318 </w:t>
            </w:r>
          </w:p>
        </w:tc>
        <w:tc>
          <w:tcPr>
            <w:tcW w:w="9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0.02 </w:t>
            </w:r>
          </w:p>
        </w:tc>
        <w:tc>
          <w:tcPr>
            <w:tcW w:w="13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c>
          <w:tcPr>
            <w:tcW w:w="1348"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其他用地</w:t>
            </w:r>
          </w:p>
        </w:tc>
        <w:tc>
          <w:tcPr>
            <w:tcW w:w="10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0.0000 </w:t>
            </w:r>
          </w:p>
        </w:tc>
        <w:tc>
          <w:tcPr>
            <w:tcW w:w="9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c>
          <w:tcPr>
            <w:tcW w:w="13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c>
          <w:tcPr>
            <w:tcW w:w="134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总计</w:t>
            </w:r>
          </w:p>
        </w:tc>
        <w:tc>
          <w:tcPr>
            <w:tcW w:w="10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49.9940 </w:t>
            </w:r>
          </w:p>
        </w:tc>
        <w:tc>
          <w:tcPr>
            <w:tcW w:w="9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1.00 </w:t>
            </w:r>
          </w:p>
        </w:tc>
        <w:tc>
          <w:tcPr>
            <w:tcW w:w="13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21.2278 </w:t>
            </w: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1.6712 </w:t>
            </w:r>
          </w:p>
        </w:tc>
        <w:tc>
          <w:tcPr>
            <w:tcW w:w="95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1.00 </w:t>
            </w:r>
          </w:p>
        </w:tc>
        <w:tc>
          <w:tcPr>
            <w:tcW w:w="134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1.6712 </w:t>
            </w:r>
          </w:p>
        </w:tc>
        <w:tc>
          <w:tcPr>
            <w:tcW w:w="98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0.0000 </w:t>
            </w: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 </w:t>
            </w:r>
          </w:p>
        </w:tc>
        <w:tc>
          <w:tcPr>
            <w:tcW w:w="126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r>
    </w:tbl>
    <w:p>
      <w:pPr>
        <w:rPr>
          <w:rFonts w:hint="eastAsia"/>
          <w:lang w:eastAsia="zh-CN"/>
        </w:rPr>
      </w:pPr>
      <w:r>
        <w:rPr>
          <w:rFonts w:hint="eastAsia"/>
          <w:lang w:eastAsia="zh-CN"/>
        </w:rPr>
        <w:br w:type="page"/>
      </w:r>
    </w:p>
    <w:p>
      <w:pPr>
        <w:pStyle w:val="4"/>
        <w:jc w:val="center"/>
        <w:rPr>
          <w:rFonts w:hint="eastAsia"/>
          <w:lang w:eastAsia="zh-CN"/>
        </w:rPr>
      </w:pPr>
      <w:r>
        <w:rPr>
          <w:rFonts w:hint="eastAsia"/>
          <w:lang w:eastAsia="zh-CN"/>
        </w:rPr>
        <w:t>附表三</w:t>
      </w:r>
      <w:r>
        <w:rPr>
          <w:rFonts w:hint="eastAsia"/>
          <w:lang w:val="en-US" w:eastAsia="zh-CN"/>
        </w:rPr>
        <w:t xml:space="preserve"> </w:t>
      </w:r>
      <w:r>
        <w:rPr>
          <w:rFonts w:hint="eastAsia"/>
          <w:lang w:eastAsia="zh-CN"/>
        </w:rPr>
        <w:t>合作市城镇低效用再开发结构调整及强度优化情况表</w:t>
      </w:r>
    </w:p>
    <w:p>
      <w:pPr>
        <w:jc w:val="right"/>
        <w:rPr>
          <w:rFonts w:hint="eastAsia"/>
          <w:lang w:eastAsia="zh-CN"/>
        </w:rPr>
      </w:pPr>
      <w:r>
        <w:rPr>
          <w:rFonts w:hint="eastAsia"/>
          <w:b/>
          <w:bCs/>
          <w:sz w:val="21"/>
          <w:szCs w:val="21"/>
          <w:highlight w:val="none"/>
          <w:lang w:eastAsia="zh-CN"/>
        </w:rPr>
        <w:t>单位：公顷、万元</w:t>
      </w:r>
      <w:r>
        <w:rPr>
          <w:rFonts w:hint="eastAsia"/>
          <w:b/>
          <w:bCs/>
          <w:sz w:val="21"/>
          <w:szCs w:val="21"/>
          <w:highlight w:val="none"/>
          <w:lang w:val="en-US" w:eastAsia="zh-CN"/>
        </w:rPr>
        <w:t>/公顷</w:t>
      </w:r>
    </w:p>
    <w:tbl>
      <w:tblPr>
        <w:tblStyle w:val="16"/>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68"/>
        <w:gridCol w:w="845"/>
        <w:gridCol w:w="849"/>
        <w:gridCol w:w="639"/>
        <w:gridCol w:w="632"/>
        <w:gridCol w:w="664"/>
        <w:gridCol w:w="635"/>
        <w:gridCol w:w="804"/>
        <w:gridCol w:w="850"/>
        <w:gridCol w:w="632"/>
        <w:gridCol w:w="632"/>
        <w:gridCol w:w="612"/>
        <w:gridCol w:w="597"/>
        <w:gridCol w:w="803"/>
        <w:gridCol w:w="814"/>
        <w:gridCol w:w="822"/>
        <w:gridCol w:w="898"/>
        <w:gridCol w:w="6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1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用途</w:t>
            </w:r>
          </w:p>
        </w:tc>
        <w:tc>
          <w:tcPr>
            <w:tcW w:w="426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w:t>
            </w:r>
          </w:p>
        </w:tc>
        <w:tc>
          <w:tcPr>
            <w:tcW w:w="41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w:t>
            </w:r>
          </w:p>
        </w:tc>
        <w:tc>
          <w:tcPr>
            <w:tcW w:w="40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规划期间变化情况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84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849" w:type="dxa"/>
            <w:tcBorders>
              <w:top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63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63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地均固定资产投资</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单位GDP产出</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比例</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地均固定资产投资</w:t>
            </w:r>
          </w:p>
        </w:tc>
        <w:tc>
          <w:tcPr>
            <w:tcW w:w="5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单位GDP产出</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面积增加或减少</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面积容积率提高</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建筑密度提高率</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地均固定资产投资提高率</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单位GDP产出提高率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68"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商服用地</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1.8486 </w:t>
            </w:r>
          </w:p>
        </w:tc>
        <w:tc>
          <w:tcPr>
            <w:tcW w:w="8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0.08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1.99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0.48 </w:t>
            </w:r>
          </w:p>
        </w:tc>
        <w:tc>
          <w:tcPr>
            <w:tcW w:w="6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1.8486 </w:t>
            </w:r>
          </w:p>
        </w:tc>
        <w:tc>
          <w:tcPr>
            <w:tcW w:w="8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1.9927 </w:t>
            </w:r>
          </w:p>
        </w:tc>
        <w:tc>
          <w:tcPr>
            <w:tcW w:w="82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0.4754 </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68"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住宅用地</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21.4094 </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0.93 </w:t>
            </w:r>
          </w:p>
        </w:tc>
        <w:tc>
          <w:tcPr>
            <w:tcW w:w="6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0.44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0.44 </w:t>
            </w:r>
          </w:p>
        </w:tc>
        <w:tc>
          <w:tcPr>
            <w:tcW w:w="66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18.1562 </w:t>
            </w:r>
          </w:p>
        </w:tc>
        <w:tc>
          <w:tcPr>
            <w:tcW w:w="8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0.79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2.35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0.26 </w:t>
            </w:r>
          </w:p>
        </w:tc>
        <w:tc>
          <w:tcPr>
            <w:tcW w:w="6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-3.2532 </w:t>
            </w:r>
          </w:p>
        </w:tc>
        <w:tc>
          <w:tcPr>
            <w:tcW w:w="8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1.9033 </w:t>
            </w:r>
          </w:p>
        </w:tc>
        <w:tc>
          <w:tcPr>
            <w:tcW w:w="82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-0.1821 </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68"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1.4896 </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0.07 </w:t>
            </w:r>
          </w:p>
        </w:tc>
        <w:tc>
          <w:tcPr>
            <w:tcW w:w="6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 </w:t>
            </w:r>
          </w:p>
        </w:tc>
        <w:tc>
          <w:tcPr>
            <w:tcW w:w="66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-1.4896 </w:t>
            </w:r>
          </w:p>
        </w:tc>
        <w:tc>
          <w:tcPr>
            <w:tcW w:w="8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-0.2814 </w:t>
            </w:r>
          </w:p>
        </w:tc>
        <w:tc>
          <w:tcPr>
            <w:tcW w:w="82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-0.2814 </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68"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公共管理与公共服务用地</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2.8942 </w:t>
            </w:r>
          </w:p>
        </w:tc>
        <w:tc>
          <w:tcPr>
            <w:tcW w:w="8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0.13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1.88 </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0.25 </w:t>
            </w:r>
          </w:p>
        </w:tc>
        <w:tc>
          <w:tcPr>
            <w:tcW w:w="6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2.8942 </w:t>
            </w:r>
          </w:p>
        </w:tc>
        <w:tc>
          <w:tcPr>
            <w:tcW w:w="8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1.8811 </w:t>
            </w:r>
          </w:p>
        </w:tc>
        <w:tc>
          <w:tcPr>
            <w:tcW w:w="82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0.2508 </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68"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其他用地</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4"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0.0000 </w:t>
            </w:r>
          </w:p>
        </w:tc>
        <w:tc>
          <w:tcPr>
            <w:tcW w:w="8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0.0000 </w:t>
            </w:r>
          </w:p>
        </w:tc>
        <w:tc>
          <w:tcPr>
            <w:tcW w:w="82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0.0000 </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568"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总计</w:t>
            </w:r>
          </w:p>
        </w:tc>
        <w:tc>
          <w:tcPr>
            <w:tcW w:w="84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22.8989 </w:t>
            </w:r>
          </w:p>
        </w:tc>
        <w:tc>
          <w:tcPr>
            <w:tcW w:w="84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63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6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22.8989 </w:t>
            </w:r>
          </w:p>
        </w:tc>
        <w:tc>
          <w:tcPr>
            <w:tcW w:w="8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0.0000 </w:t>
            </w:r>
          </w:p>
        </w:tc>
        <w:tc>
          <w:tcPr>
            <w:tcW w:w="8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2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bl>
    <w:p>
      <w:pPr>
        <w:rPr>
          <w:rFonts w:hint="eastAsia"/>
          <w:lang w:eastAsia="zh-CN"/>
        </w:rPr>
      </w:pPr>
      <w:r>
        <w:rPr>
          <w:rFonts w:hint="eastAsia"/>
          <w:lang w:eastAsia="zh-CN"/>
        </w:rPr>
        <w:br w:type="page"/>
      </w:r>
    </w:p>
    <w:p>
      <w:pPr>
        <w:pStyle w:val="4"/>
        <w:jc w:val="center"/>
        <w:rPr>
          <w:rFonts w:hint="eastAsia"/>
          <w:lang w:eastAsia="zh-CN"/>
        </w:rPr>
      </w:pPr>
      <w:r>
        <w:rPr>
          <w:rFonts w:hint="eastAsia"/>
          <w:lang w:eastAsia="zh-CN"/>
        </w:rPr>
        <w:t>附表四</w:t>
      </w:r>
      <w:r>
        <w:rPr>
          <w:rFonts w:hint="eastAsia"/>
          <w:lang w:val="en-US" w:eastAsia="zh-CN"/>
        </w:rPr>
        <w:t xml:space="preserve"> </w:t>
      </w:r>
      <w:r>
        <w:rPr>
          <w:rFonts w:hint="eastAsia"/>
          <w:lang w:eastAsia="zh-CN"/>
        </w:rPr>
        <w:t>合作市城镇低效用地再开发项目区现状及规划情况汇总表</w:t>
      </w:r>
    </w:p>
    <w:p>
      <w:pPr>
        <w:jc w:val="right"/>
        <w:rPr>
          <w:rFonts w:hint="eastAsia"/>
          <w:lang w:eastAsia="zh-CN"/>
        </w:rPr>
      </w:pPr>
      <w:r>
        <w:rPr>
          <w:rFonts w:hint="eastAsia"/>
          <w:b/>
          <w:bCs/>
          <w:sz w:val="21"/>
          <w:szCs w:val="21"/>
          <w:highlight w:val="none"/>
          <w:lang w:eastAsia="zh-CN"/>
        </w:rPr>
        <w:t>单位：公顷、个、万元</w:t>
      </w:r>
      <w:r>
        <w:rPr>
          <w:rFonts w:hint="eastAsia"/>
          <w:b/>
          <w:bCs/>
          <w:sz w:val="21"/>
          <w:szCs w:val="21"/>
          <w:highlight w:val="none"/>
          <w:lang w:val="en-US" w:eastAsia="zh-CN"/>
        </w:rPr>
        <w:t>/公顷</w:t>
      </w:r>
    </w:p>
    <w:tbl>
      <w:tblPr>
        <w:tblStyle w:val="16"/>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4"/>
        <w:gridCol w:w="260"/>
        <w:gridCol w:w="261"/>
        <w:gridCol w:w="260"/>
        <w:gridCol w:w="261"/>
        <w:gridCol w:w="261"/>
        <w:gridCol w:w="260"/>
        <w:gridCol w:w="261"/>
        <w:gridCol w:w="260"/>
        <w:gridCol w:w="260"/>
        <w:gridCol w:w="767"/>
        <w:gridCol w:w="541"/>
        <w:gridCol w:w="541"/>
        <w:gridCol w:w="662"/>
        <w:gridCol w:w="541"/>
        <w:gridCol w:w="541"/>
        <w:gridCol w:w="261"/>
        <w:gridCol w:w="261"/>
        <w:gridCol w:w="261"/>
        <w:gridCol w:w="261"/>
        <w:gridCol w:w="261"/>
        <w:gridCol w:w="261"/>
        <w:gridCol w:w="662"/>
        <w:gridCol w:w="347"/>
        <w:gridCol w:w="347"/>
        <w:gridCol w:w="767"/>
        <w:gridCol w:w="347"/>
        <w:gridCol w:w="452"/>
        <w:gridCol w:w="261"/>
        <w:gridCol w:w="261"/>
        <w:gridCol w:w="261"/>
        <w:gridCol w:w="662"/>
        <w:gridCol w:w="261"/>
        <w:gridCol w:w="347"/>
        <w:gridCol w:w="261"/>
        <w:gridCol w:w="261"/>
        <w:gridCol w:w="3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市（县、区）</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项目区数量</w:t>
            </w:r>
          </w:p>
        </w:tc>
        <w:tc>
          <w:tcPr>
            <w:tcW w:w="13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低效用地类型</w:t>
            </w:r>
          </w:p>
        </w:tc>
        <w:tc>
          <w:tcPr>
            <w:tcW w:w="594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w:t>
            </w:r>
          </w:p>
        </w:tc>
        <w:tc>
          <w:tcPr>
            <w:tcW w:w="5821"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55"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总计</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旧城镇</w:t>
            </w:r>
          </w:p>
        </w:tc>
        <w:tc>
          <w:tcPr>
            <w:tcW w:w="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旧村庄</w:t>
            </w:r>
          </w:p>
        </w:tc>
        <w:tc>
          <w:tcPr>
            <w:tcW w:w="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旧厂矿</w:t>
            </w:r>
          </w:p>
        </w:tc>
        <w:tc>
          <w:tcPr>
            <w:tcW w:w="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其他</w:t>
            </w:r>
          </w:p>
        </w:tc>
        <w:tc>
          <w:tcPr>
            <w:tcW w:w="7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商服用地</w:t>
            </w:r>
          </w:p>
        </w:tc>
        <w:tc>
          <w:tcPr>
            <w:tcW w:w="18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住宅用地</w:t>
            </w:r>
          </w:p>
        </w:tc>
        <w:tc>
          <w:tcPr>
            <w:tcW w:w="17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工矿仓储用地</w:t>
            </w:r>
          </w:p>
        </w:tc>
        <w:tc>
          <w:tcPr>
            <w:tcW w:w="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公共管理与公共服务用地</w:t>
            </w:r>
          </w:p>
        </w:tc>
        <w:tc>
          <w:tcPr>
            <w:tcW w:w="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其他用地</w:t>
            </w: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商服用地</w:t>
            </w:r>
          </w:p>
        </w:tc>
        <w:tc>
          <w:tcPr>
            <w:tcW w:w="15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住宅用地</w:t>
            </w:r>
          </w:p>
        </w:tc>
        <w:tc>
          <w:tcPr>
            <w:tcW w:w="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工矿仓储用地</w:t>
            </w:r>
          </w:p>
        </w:tc>
        <w:tc>
          <w:tcPr>
            <w:tcW w:w="12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公共管理与公共服务用地</w:t>
            </w:r>
          </w:p>
        </w:tc>
        <w:tc>
          <w:tcPr>
            <w:tcW w:w="8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其他用地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55"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2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76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54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54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6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54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54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6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34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34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76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34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4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6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34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32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260"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261"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1.6057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0.34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0.34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1.3932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1.5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w:t>
            </w: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1.6057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2.5 </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0.25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260"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260"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7.6129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0.42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0.42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1.0342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0.27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0.27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6.1746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2.5 </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0.25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1.0794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0.0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260"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260"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5.3292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0.51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0.51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0.4554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 </w:t>
            </w: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3.5144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1.7 </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0.30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1.8148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260"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261" w:type="dxa"/>
            <w:tcBorders>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6.8614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0.44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0.44 </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0.4554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0.32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0.32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6.8614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2.5 </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0.25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c>
          <w:tcPr>
            <w:tcW w:w="3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21.4094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1.4896 </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5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1.8486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76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18.1562 </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2.8942 </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347"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26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32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rPr>
          <w:rFonts w:hint="eastAsia"/>
          <w:lang w:eastAsia="zh-CN"/>
        </w:rPr>
      </w:pPr>
      <w:r>
        <w:rPr>
          <w:rFonts w:hint="eastAsia"/>
          <w:lang w:eastAsia="zh-CN"/>
        </w:rPr>
        <w:br w:type="page"/>
      </w:r>
    </w:p>
    <w:p>
      <w:pPr>
        <w:pStyle w:val="4"/>
        <w:jc w:val="center"/>
        <w:rPr>
          <w:rFonts w:hint="eastAsia"/>
          <w:lang w:eastAsia="zh-CN"/>
        </w:rPr>
      </w:pPr>
      <w:r>
        <w:rPr>
          <w:rFonts w:hint="eastAsia"/>
          <w:lang w:eastAsia="zh-CN"/>
        </w:rPr>
        <w:t>附表五</w:t>
      </w:r>
      <w:r>
        <w:rPr>
          <w:rFonts w:hint="eastAsia"/>
          <w:lang w:val="en-US" w:eastAsia="zh-CN"/>
        </w:rPr>
        <w:t xml:space="preserve"> </w:t>
      </w:r>
      <w:r>
        <w:rPr>
          <w:rFonts w:hint="eastAsia"/>
          <w:lang w:eastAsia="zh-CN"/>
        </w:rPr>
        <w:t>合作市城镇低效用地再开发地块清单</w:t>
      </w:r>
    </w:p>
    <w:p>
      <w:pPr>
        <w:jc w:val="right"/>
        <w:rPr>
          <w:rFonts w:hint="eastAsia"/>
          <w:lang w:eastAsia="zh-CN"/>
        </w:rPr>
      </w:pPr>
      <w:r>
        <w:rPr>
          <w:rFonts w:hint="eastAsia"/>
          <w:b/>
          <w:bCs/>
          <w:sz w:val="21"/>
          <w:szCs w:val="21"/>
          <w:highlight w:val="none"/>
          <w:lang w:eastAsia="zh-CN"/>
        </w:rPr>
        <w:t>单位：公顷、万元</w:t>
      </w:r>
      <w:r>
        <w:rPr>
          <w:rFonts w:hint="eastAsia"/>
          <w:b/>
          <w:bCs/>
          <w:sz w:val="21"/>
          <w:szCs w:val="21"/>
          <w:highlight w:val="none"/>
          <w:lang w:val="en-US" w:eastAsia="zh-CN"/>
        </w:rPr>
        <w:t>/公顷</w:t>
      </w:r>
    </w:p>
    <w:tbl>
      <w:tblPr>
        <w:tblStyle w:val="16"/>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5"/>
        <w:gridCol w:w="955"/>
        <w:gridCol w:w="886"/>
        <w:gridCol w:w="709"/>
        <w:gridCol w:w="818"/>
        <w:gridCol w:w="710"/>
        <w:gridCol w:w="641"/>
        <w:gridCol w:w="654"/>
        <w:gridCol w:w="832"/>
        <w:gridCol w:w="982"/>
        <w:gridCol w:w="736"/>
        <w:gridCol w:w="614"/>
        <w:gridCol w:w="1131"/>
        <w:gridCol w:w="955"/>
        <w:gridCol w:w="1282"/>
        <w:gridCol w:w="13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7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地块编号</w:t>
            </w: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所在县（市、区）</w:t>
            </w:r>
          </w:p>
        </w:tc>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所在建制镇或街道</w:t>
            </w: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所在项目区编号</w:t>
            </w: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83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现状</w:t>
            </w:r>
          </w:p>
        </w:tc>
        <w:tc>
          <w:tcPr>
            <w:tcW w:w="44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规划</w:t>
            </w:r>
          </w:p>
        </w:tc>
        <w:tc>
          <w:tcPr>
            <w:tcW w:w="12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开发模式</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改造主体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主导用途</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654"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三旧</w:t>
            </w:r>
          </w:p>
        </w:tc>
        <w:tc>
          <w:tcPr>
            <w:tcW w:w="982"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主导用途</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容积率</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建筑密度</w:t>
            </w: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地均固定资产投资</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开发建设时间</w:t>
            </w:r>
          </w:p>
        </w:tc>
        <w:tc>
          <w:tcPr>
            <w:tcW w:w="1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LYRY-1</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1.0118</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0.58</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0.58</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4"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LYRY-2</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0.9908</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0.48</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0.48</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LYRY-3</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1.0794</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0.28</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0.28</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街头绿地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LYRY-4</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LYRY</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1.0342</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0.27</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0.27</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MSJY-1</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0.8163</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0.36</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0.36</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MSJY-2</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当周街道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MSJY</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0.7894</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0.33</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0.33</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SZF-1</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1.3932</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商业设施用地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SZF-2</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坚木克尔街道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SZF</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3.1376</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0.39</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0.39</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TYGB-1</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3.5144</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4760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TYGB-2</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1.6332</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0.54</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0.54</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教育科研用地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8400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TYGB-3</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0.1318</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0.38</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0.38</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9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教育科研用地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8400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TYGB-4</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通钦街道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TYGB</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0.0498</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0.18</w:t>
            </w:r>
          </w:p>
        </w:tc>
        <w:tc>
          <w:tcPr>
            <w:tcW w:w="654"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0.18</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9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教育科研用地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8400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2020年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ZYCJ-1</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4.5007</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0.42</w:t>
            </w:r>
          </w:p>
        </w:tc>
        <w:tc>
          <w:tcPr>
            <w:tcW w:w="6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0.42</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2021年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ZYCJ-2</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1.7847</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6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2018年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ZYCJ-3</w:t>
            </w:r>
          </w:p>
        </w:tc>
        <w:tc>
          <w:tcPr>
            <w:tcW w:w="955"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0.576</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城镇住宅用地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6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0.51</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旧城镇</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二类居住用地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0.25</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7000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2022年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ZYCJ-4</w:t>
            </w:r>
          </w:p>
        </w:tc>
        <w:tc>
          <w:tcPr>
            <w:tcW w:w="955" w:type="dxa"/>
            <w:tcBorders>
              <w:top w:val="single" w:color="000000" w:sz="4" w:space="0"/>
              <w:left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88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伊合昂街道</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ZYCJ</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0.4554</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工矿仓储用地</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0.32</w:t>
            </w:r>
          </w:p>
        </w:tc>
        <w:tc>
          <w:tcPr>
            <w:tcW w:w="6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0.32</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旧工矿</w:t>
            </w:r>
          </w:p>
        </w:tc>
        <w:tc>
          <w:tcPr>
            <w:tcW w:w="982"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商业设施用地</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0.4</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9800</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2021年</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全面改造</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开发商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755" w:type="dxa"/>
            <w:tcBorders>
              <w:top w:val="single" w:color="000000" w:sz="4" w:space="0"/>
              <w:left w:val="single" w:color="000000" w:sz="4" w:space="0"/>
              <w:bottom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86" w:type="dxa"/>
            <w:tcBorders>
              <w:top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22.8989</w:t>
            </w:r>
          </w:p>
        </w:tc>
        <w:tc>
          <w:tcPr>
            <w:tcW w:w="7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4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5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83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73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61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131"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95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282"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c>
          <w:tcPr>
            <w:tcW w:w="132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w:t>
            </w:r>
          </w:p>
        </w:tc>
      </w:tr>
    </w:tbl>
    <w:p>
      <w:pPr>
        <w:rPr>
          <w:rFonts w:hint="eastAsia"/>
          <w:lang w:eastAsia="zh-CN"/>
        </w:rPr>
      </w:pPr>
      <w:r>
        <w:rPr>
          <w:rFonts w:hint="eastAsia"/>
          <w:lang w:eastAsia="zh-CN"/>
        </w:rPr>
        <w:br w:type="page"/>
      </w:r>
    </w:p>
    <w:p>
      <w:pPr>
        <w:pStyle w:val="4"/>
        <w:jc w:val="center"/>
        <w:rPr>
          <w:rFonts w:hint="eastAsia"/>
          <w:lang w:eastAsia="zh-CN"/>
        </w:rPr>
      </w:pPr>
      <w:r>
        <w:rPr>
          <w:rFonts w:hint="eastAsia"/>
          <w:lang w:eastAsia="zh-CN"/>
        </w:rPr>
        <w:t>附表六</w:t>
      </w:r>
      <w:r>
        <w:rPr>
          <w:rFonts w:hint="eastAsia"/>
          <w:lang w:val="en-US" w:eastAsia="zh-CN"/>
        </w:rPr>
        <w:t xml:space="preserve"> </w:t>
      </w:r>
      <w:r>
        <w:rPr>
          <w:rFonts w:hint="eastAsia"/>
          <w:lang w:eastAsia="zh-CN"/>
        </w:rPr>
        <w:t>合作市城镇低效用地再开发建设时序安排表</w:t>
      </w:r>
    </w:p>
    <w:p>
      <w:pPr>
        <w:jc w:val="right"/>
        <w:rPr>
          <w:rFonts w:hint="eastAsia"/>
          <w:lang w:eastAsia="zh-CN"/>
        </w:rPr>
      </w:pPr>
      <w:r>
        <w:rPr>
          <w:rFonts w:hint="eastAsia"/>
          <w:b/>
          <w:bCs/>
          <w:sz w:val="21"/>
          <w:szCs w:val="21"/>
          <w:highlight w:val="none"/>
          <w:lang w:eastAsia="zh-CN"/>
        </w:rPr>
        <w:t>单位：公顷、个</w:t>
      </w:r>
    </w:p>
    <w:tbl>
      <w:tblPr>
        <w:tblStyle w:val="16"/>
        <w:tblW w:w="139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64"/>
        <w:gridCol w:w="634"/>
        <w:gridCol w:w="910"/>
        <w:gridCol w:w="635"/>
        <w:gridCol w:w="818"/>
        <w:gridCol w:w="909"/>
        <w:gridCol w:w="634"/>
        <w:gridCol w:w="818"/>
        <w:gridCol w:w="909"/>
        <w:gridCol w:w="635"/>
        <w:gridCol w:w="818"/>
        <w:gridCol w:w="909"/>
        <w:gridCol w:w="634"/>
        <w:gridCol w:w="818"/>
        <w:gridCol w:w="910"/>
        <w:gridCol w:w="635"/>
        <w:gridCol w:w="818"/>
        <w:gridCol w:w="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所在县（市、区）</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地块数量</w:t>
            </w:r>
          </w:p>
        </w:tc>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23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2018年</w:t>
            </w:r>
          </w:p>
        </w:tc>
        <w:tc>
          <w:tcPr>
            <w:tcW w:w="2361"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2019年</w:t>
            </w:r>
          </w:p>
        </w:tc>
        <w:tc>
          <w:tcPr>
            <w:tcW w:w="2362"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2020年</w:t>
            </w:r>
          </w:p>
        </w:tc>
        <w:tc>
          <w:tcPr>
            <w:tcW w:w="2362"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2021年</w:t>
            </w:r>
          </w:p>
        </w:tc>
        <w:tc>
          <w:tcPr>
            <w:tcW w:w="2329" w:type="dxa"/>
            <w:gridSpan w:val="3"/>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百分比</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百分比</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百分比</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百分比</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数量</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面积</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b/>
                <w:bCs/>
                <w:i w:val="0"/>
                <w:color w:val="000000"/>
                <w:kern w:val="0"/>
                <w:sz w:val="21"/>
                <w:szCs w:val="21"/>
                <w:u w:val="none"/>
                <w:lang w:val="en-US" w:eastAsia="zh-CN" w:bidi="ar"/>
              </w:rPr>
            </w:pPr>
            <w:r>
              <w:rPr>
                <w:rFonts w:hint="eastAsia" w:ascii="宋体" w:hAnsi="宋体" w:eastAsia="宋体" w:cs="宋体"/>
                <w:b/>
                <w:bCs/>
                <w:i w:val="0"/>
                <w:color w:val="000000"/>
                <w:kern w:val="0"/>
                <w:sz w:val="21"/>
                <w:szCs w:val="21"/>
                <w:u w:val="none"/>
                <w:lang w:val="en-US" w:eastAsia="zh-CN" w:bidi="ar"/>
              </w:rPr>
              <w:t>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合作市</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22.90 </w:t>
            </w: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3.83 </w:t>
            </w:r>
          </w:p>
        </w:tc>
        <w:tc>
          <w:tcPr>
            <w:tcW w:w="9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16.72 </w:t>
            </w:r>
          </w:p>
        </w:tc>
        <w:tc>
          <w:tcPr>
            <w:tcW w:w="63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6.34 </w:t>
            </w:r>
          </w:p>
        </w:tc>
        <w:tc>
          <w:tcPr>
            <w:tcW w:w="9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27.68 </w:t>
            </w: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5.33 </w:t>
            </w:r>
          </w:p>
        </w:tc>
        <w:tc>
          <w:tcPr>
            <w:tcW w:w="9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23.27 </w:t>
            </w:r>
          </w:p>
        </w:tc>
        <w:tc>
          <w:tcPr>
            <w:tcW w:w="63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4.96 </w:t>
            </w:r>
          </w:p>
        </w:tc>
        <w:tc>
          <w:tcPr>
            <w:tcW w:w="9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21.66 </w:t>
            </w: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2.45 </w:t>
            </w:r>
          </w:p>
        </w:tc>
        <w:tc>
          <w:tcPr>
            <w:tcW w:w="8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合计</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22.90 </w:t>
            </w: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3.83 </w:t>
            </w:r>
          </w:p>
        </w:tc>
        <w:tc>
          <w:tcPr>
            <w:tcW w:w="9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16.72 </w:t>
            </w:r>
          </w:p>
        </w:tc>
        <w:tc>
          <w:tcPr>
            <w:tcW w:w="63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6.34 </w:t>
            </w:r>
          </w:p>
        </w:tc>
        <w:tc>
          <w:tcPr>
            <w:tcW w:w="9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27.68 </w:t>
            </w: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5.33 </w:t>
            </w:r>
          </w:p>
        </w:tc>
        <w:tc>
          <w:tcPr>
            <w:tcW w:w="909"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23.27 </w:t>
            </w:r>
          </w:p>
        </w:tc>
        <w:tc>
          <w:tcPr>
            <w:tcW w:w="634"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4.96 </w:t>
            </w:r>
          </w:p>
        </w:tc>
        <w:tc>
          <w:tcPr>
            <w:tcW w:w="91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21.66 </w:t>
            </w:r>
          </w:p>
        </w:tc>
        <w:tc>
          <w:tcPr>
            <w:tcW w:w="635"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818"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2.45 </w:t>
            </w:r>
          </w:p>
        </w:tc>
        <w:tc>
          <w:tcPr>
            <w:tcW w:w="876"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ind w:left="0" w:leftChars="0" w:firstLine="0" w:firstLineChars="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10.67 </w:t>
            </w:r>
          </w:p>
        </w:tc>
      </w:tr>
    </w:tbl>
    <w:p>
      <w:pPr>
        <w:rPr>
          <w:rFonts w:hint="eastAsia"/>
          <w:lang w:eastAsia="zh-CN"/>
        </w:rPr>
      </w:pPr>
    </w:p>
    <w:p>
      <w:pPr>
        <w:rPr>
          <w:rFonts w:hint="eastAsia"/>
          <w:lang w:eastAsia="zh-CN"/>
        </w:rPr>
      </w:pPr>
    </w:p>
    <w:p>
      <w:pPr>
        <w:ind w:firstLine="560"/>
        <w:rPr>
          <w:rFonts w:hint="eastAsia"/>
        </w:rPr>
        <w:sectPr>
          <w:pgSz w:w="16838" w:h="11906" w:orient="landscape"/>
          <w:pgMar w:top="1800" w:right="1440" w:bottom="1800" w:left="1440" w:header="851" w:footer="992" w:gutter="0"/>
          <w:cols w:space="425" w:num="1"/>
          <w:docGrid w:type="lines" w:linePitch="312" w:charSpace="0"/>
        </w:sectPr>
      </w:pPr>
    </w:p>
    <w:p>
      <w:pPr>
        <w:rPr>
          <w:rFonts w:hint="eastAsia"/>
          <w:lang w:eastAsia="zh-CN"/>
        </w:rPr>
      </w:pPr>
    </w:p>
    <w:p>
      <w:pPr>
        <w:ind w:left="0" w:leftChars="0" w:firstLine="0" w:firstLineChars="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 w:name="Dotum">
    <w:panose1 w:val="020B0600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firstLine="360"/>
      <w:jc w:val="center"/>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v:textbox>
        </v:shape>
      </w:pict>
    </w:r>
    <w:sdt>
      <w:sdtPr>
        <w:id w:val="2581771"/>
      </w:sdtPr>
      <w:sdtContent/>
    </w:sdt>
  </w:p>
  <w:p>
    <w:pPr>
      <w:pStyle w:val="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1772"/>
    </w:sdtPr>
    <w:sdtContent>
      <w:p>
        <w:pPr>
          <w:pStyle w:val="8"/>
          <w:ind w:firstLine="360"/>
          <w:jc w:val="center"/>
        </w:pPr>
        <w:r>
          <w:fldChar w:fldCharType="begin"/>
        </w:r>
        <w:r>
          <w:instrText xml:space="preserve"> PAGE   \* MERGEFORMAT </w:instrText>
        </w:r>
        <w:r>
          <w:fldChar w:fldCharType="separate"/>
        </w:r>
        <w:r>
          <w:rPr>
            <w:lang w:val="zh-CN"/>
          </w:rPr>
          <w:t>176</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9"/>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Bdr>
        <w:bottom w:val="single" w:color="auto" w:sz="4" w:space="1"/>
      </w:pBdr>
      <w:adjustRightInd w:val="0"/>
      <w:snapToGrid w:val="0"/>
      <w:ind w:firstLine="0" w:firstLineChars="0"/>
      <w:jc w:val="center"/>
      <w:rPr>
        <w:rFonts w:ascii="仿宋_GB2312" w:eastAsia="仿宋_GB2312"/>
        <w:color w:val="000000"/>
        <w:sz w:val="21"/>
        <w:szCs w:val="21"/>
      </w:rPr>
    </w:pPr>
    <w:r>
      <w:rPr>
        <w:rFonts w:hint="eastAsia" w:ascii="仿宋_GB2312" w:eastAsia="仿宋_GB2312"/>
        <w:color w:val="000000"/>
        <w:sz w:val="21"/>
        <w:szCs w:val="21"/>
      </w:rPr>
      <w:t>合作市</w:t>
    </w:r>
    <w:r>
      <w:rPr>
        <w:rFonts w:hint="eastAsia" w:ascii="仿宋_GB2312" w:eastAsia="仿宋_GB2312"/>
        <w:color w:val="000000"/>
        <w:sz w:val="21"/>
        <w:szCs w:val="21"/>
        <w:lang w:eastAsia="zh-CN"/>
      </w:rPr>
      <w:t>城镇低效用地再开发规划</w:t>
    </w:r>
    <w:r>
      <w:rPr>
        <w:rFonts w:hint="eastAsia" w:ascii="仿宋_GB2312" w:eastAsia="仿宋_GB2312"/>
        <w:color w:val="000000"/>
        <w:sz w:val="21"/>
        <w:szCs w:val="21"/>
      </w:rPr>
      <w:t>技术报告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86435770">
    <w:nsid w:val="589935BA"/>
    <w:multiLevelType w:val="singleLevel"/>
    <w:tmpl w:val="589935BA"/>
    <w:lvl w:ilvl="0" w:tentative="1">
      <w:start w:val="2"/>
      <w:numFmt w:val="decimal"/>
      <w:suff w:val="nothing"/>
      <w:lvlText w:val="（%1）"/>
      <w:lvlJc w:val="left"/>
    </w:lvl>
  </w:abstractNum>
  <w:abstractNum w:abstractNumId="1531445901">
    <w:nsid w:val="5B48028D"/>
    <w:multiLevelType w:val="singleLevel"/>
    <w:tmpl w:val="5B48028D"/>
    <w:lvl w:ilvl="0" w:tentative="1">
      <w:start w:val="1"/>
      <w:numFmt w:val="decimal"/>
      <w:suff w:val="nothing"/>
      <w:lvlText w:val="（%1）"/>
      <w:lvlJc w:val="left"/>
    </w:lvl>
  </w:abstractNum>
  <w:abstractNum w:abstractNumId="1535961240">
    <w:nsid w:val="5B8CE898"/>
    <w:multiLevelType w:val="singleLevel"/>
    <w:tmpl w:val="5B8CE898"/>
    <w:lvl w:ilvl="0" w:tentative="1">
      <w:start w:val="2"/>
      <w:numFmt w:val="decimal"/>
      <w:suff w:val="nothing"/>
      <w:lvlText w:val="%1、"/>
      <w:lvlJc w:val="left"/>
    </w:lvl>
  </w:abstractNum>
  <w:abstractNum w:abstractNumId="1539433260">
    <w:nsid w:val="5BC1E32C"/>
    <w:multiLevelType w:val="singleLevel"/>
    <w:tmpl w:val="5BC1E32C"/>
    <w:lvl w:ilvl="0" w:tentative="1">
      <w:start w:val="3"/>
      <w:numFmt w:val="decimal"/>
      <w:suff w:val="nothing"/>
      <w:lvlText w:val="%1、"/>
      <w:lvlJc w:val="left"/>
    </w:lvl>
  </w:abstractNum>
  <w:num w:numId="1">
    <w:abstractNumId w:val="1486435770"/>
  </w:num>
  <w:num w:numId="2">
    <w:abstractNumId w:val="1531445901"/>
  </w:num>
  <w:num w:numId="3">
    <w:abstractNumId w:val="1535961240"/>
  </w:num>
  <w:num w:numId="4">
    <w:abstractNumId w:val="15394332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documentProtection w:edit="forms" w:enforcement="0"/>
  <w:defaultTabStop w:val="420"/>
  <w:drawingGridHorizontalSpacing w:val="140"/>
  <w:drawingGridVerticalSpacing w:val="381"/>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1C4075"/>
    <w:rsid w:val="0000574F"/>
    <w:rsid w:val="00006B1F"/>
    <w:rsid w:val="000135A1"/>
    <w:rsid w:val="0001385C"/>
    <w:rsid w:val="0001555C"/>
    <w:rsid w:val="0002034C"/>
    <w:rsid w:val="00022F80"/>
    <w:rsid w:val="0002771E"/>
    <w:rsid w:val="000311F2"/>
    <w:rsid w:val="00033FDA"/>
    <w:rsid w:val="00040A07"/>
    <w:rsid w:val="000548AF"/>
    <w:rsid w:val="000577E3"/>
    <w:rsid w:val="000619FE"/>
    <w:rsid w:val="000676BE"/>
    <w:rsid w:val="000677B3"/>
    <w:rsid w:val="00070C2F"/>
    <w:rsid w:val="000764DD"/>
    <w:rsid w:val="0008301F"/>
    <w:rsid w:val="0008524F"/>
    <w:rsid w:val="000855C9"/>
    <w:rsid w:val="00087FB5"/>
    <w:rsid w:val="0009644F"/>
    <w:rsid w:val="00097F56"/>
    <w:rsid w:val="000A2D3C"/>
    <w:rsid w:val="000A4F78"/>
    <w:rsid w:val="000B6EE2"/>
    <w:rsid w:val="000C1D3F"/>
    <w:rsid w:val="000C3B26"/>
    <w:rsid w:val="000C7A28"/>
    <w:rsid w:val="000D136C"/>
    <w:rsid w:val="000D21B1"/>
    <w:rsid w:val="000D2D01"/>
    <w:rsid w:val="000E24CD"/>
    <w:rsid w:val="000E5519"/>
    <w:rsid w:val="000F3CA3"/>
    <w:rsid w:val="000F49AB"/>
    <w:rsid w:val="000F6485"/>
    <w:rsid w:val="0011110F"/>
    <w:rsid w:val="00116120"/>
    <w:rsid w:val="001179E6"/>
    <w:rsid w:val="0012033E"/>
    <w:rsid w:val="0012092A"/>
    <w:rsid w:val="00132B5D"/>
    <w:rsid w:val="00135271"/>
    <w:rsid w:val="00147B45"/>
    <w:rsid w:val="0016027B"/>
    <w:rsid w:val="00170DEB"/>
    <w:rsid w:val="001762F6"/>
    <w:rsid w:val="00184B27"/>
    <w:rsid w:val="001A2243"/>
    <w:rsid w:val="001A5E17"/>
    <w:rsid w:val="001B455F"/>
    <w:rsid w:val="001B5259"/>
    <w:rsid w:val="001C4075"/>
    <w:rsid w:val="001C7A24"/>
    <w:rsid w:val="001D3A7B"/>
    <w:rsid w:val="001E04C0"/>
    <w:rsid w:val="001E6DB4"/>
    <w:rsid w:val="001F0D84"/>
    <w:rsid w:val="0020033D"/>
    <w:rsid w:val="002027F7"/>
    <w:rsid w:val="00204E82"/>
    <w:rsid w:val="00204FB2"/>
    <w:rsid w:val="00215C06"/>
    <w:rsid w:val="002175B3"/>
    <w:rsid w:val="00231004"/>
    <w:rsid w:val="00236916"/>
    <w:rsid w:val="00236B52"/>
    <w:rsid w:val="002414B5"/>
    <w:rsid w:val="00247DD9"/>
    <w:rsid w:val="00250473"/>
    <w:rsid w:val="00251F5C"/>
    <w:rsid w:val="00261A92"/>
    <w:rsid w:val="00265257"/>
    <w:rsid w:val="00271EB3"/>
    <w:rsid w:val="002739E8"/>
    <w:rsid w:val="002801FE"/>
    <w:rsid w:val="002831ED"/>
    <w:rsid w:val="00285E95"/>
    <w:rsid w:val="00286F37"/>
    <w:rsid w:val="00287D43"/>
    <w:rsid w:val="002927E4"/>
    <w:rsid w:val="00294628"/>
    <w:rsid w:val="00295479"/>
    <w:rsid w:val="00295703"/>
    <w:rsid w:val="002A28E1"/>
    <w:rsid w:val="002A2CB4"/>
    <w:rsid w:val="002A4DD0"/>
    <w:rsid w:val="002A71F5"/>
    <w:rsid w:val="002B1CCB"/>
    <w:rsid w:val="002B2352"/>
    <w:rsid w:val="002B4655"/>
    <w:rsid w:val="002D5811"/>
    <w:rsid w:val="002D7FE5"/>
    <w:rsid w:val="002E4732"/>
    <w:rsid w:val="002E7399"/>
    <w:rsid w:val="002F088A"/>
    <w:rsid w:val="002F36E1"/>
    <w:rsid w:val="0030196D"/>
    <w:rsid w:val="003026FE"/>
    <w:rsid w:val="00304690"/>
    <w:rsid w:val="00304EA1"/>
    <w:rsid w:val="003257AC"/>
    <w:rsid w:val="00332F70"/>
    <w:rsid w:val="00336F1B"/>
    <w:rsid w:val="00350676"/>
    <w:rsid w:val="003543C7"/>
    <w:rsid w:val="003728B7"/>
    <w:rsid w:val="0037428B"/>
    <w:rsid w:val="003765E9"/>
    <w:rsid w:val="003776E1"/>
    <w:rsid w:val="00380FF6"/>
    <w:rsid w:val="003827D5"/>
    <w:rsid w:val="003832E9"/>
    <w:rsid w:val="00386765"/>
    <w:rsid w:val="003A229C"/>
    <w:rsid w:val="003A47E9"/>
    <w:rsid w:val="003B2BAA"/>
    <w:rsid w:val="003B66E3"/>
    <w:rsid w:val="003C4234"/>
    <w:rsid w:val="003C4238"/>
    <w:rsid w:val="003C5FC8"/>
    <w:rsid w:val="003D13FD"/>
    <w:rsid w:val="003D2A6D"/>
    <w:rsid w:val="003E0E9D"/>
    <w:rsid w:val="003E4668"/>
    <w:rsid w:val="003E475D"/>
    <w:rsid w:val="003F1BD5"/>
    <w:rsid w:val="00404D3D"/>
    <w:rsid w:val="0040500F"/>
    <w:rsid w:val="00411A8D"/>
    <w:rsid w:val="00426743"/>
    <w:rsid w:val="0043232D"/>
    <w:rsid w:val="00441E94"/>
    <w:rsid w:val="00443200"/>
    <w:rsid w:val="0044483D"/>
    <w:rsid w:val="004454EE"/>
    <w:rsid w:val="00446CCB"/>
    <w:rsid w:val="00447D92"/>
    <w:rsid w:val="00452435"/>
    <w:rsid w:val="00471C9E"/>
    <w:rsid w:val="00477491"/>
    <w:rsid w:val="00480969"/>
    <w:rsid w:val="00481FF6"/>
    <w:rsid w:val="00482695"/>
    <w:rsid w:val="00484A07"/>
    <w:rsid w:val="00486139"/>
    <w:rsid w:val="00486A10"/>
    <w:rsid w:val="004A2110"/>
    <w:rsid w:val="004A410B"/>
    <w:rsid w:val="004A4422"/>
    <w:rsid w:val="004C14F5"/>
    <w:rsid w:val="004C23F8"/>
    <w:rsid w:val="004C4669"/>
    <w:rsid w:val="004D2127"/>
    <w:rsid w:val="004E7AA7"/>
    <w:rsid w:val="004F02A9"/>
    <w:rsid w:val="004F0C8D"/>
    <w:rsid w:val="004F47A4"/>
    <w:rsid w:val="004F6C77"/>
    <w:rsid w:val="00501101"/>
    <w:rsid w:val="0050510D"/>
    <w:rsid w:val="005132C6"/>
    <w:rsid w:val="00515D6D"/>
    <w:rsid w:val="0051649D"/>
    <w:rsid w:val="005167A8"/>
    <w:rsid w:val="00523A0C"/>
    <w:rsid w:val="00527B96"/>
    <w:rsid w:val="00537C71"/>
    <w:rsid w:val="00537D69"/>
    <w:rsid w:val="0055513C"/>
    <w:rsid w:val="00556508"/>
    <w:rsid w:val="00561253"/>
    <w:rsid w:val="00572162"/>
    <w:rsid w:val="00573685"/>
    <w:rsid w:val="00582CC0"/>
    <w:rsid w:val="005839DB"/>
    <w:rsid w:val="00584A56"/>
    <w:rsid w:val="00587358"/>
    <w:rsid w:val="005A0207"/>
    <w:rsid w:val="005A0286"/>
    <w:rsid w:val="005C1947"/>
    <w:rsid w:val="005D377C"/>
    <w:rsid w:val="005D627D"/>
    <w:rsid w:val="005D69A5"/>
    <w:rsid w:val="005D7919"/>
    <w:rsid w:val="005F3B71"/>
    <w:rsid w:val="005F5934"/>
    <w:rsid w:val="005F72B5"/>
    <w:rsid w:val="00605DA5"/>
    <w:rsid w:val="00612D30"/>
    <w:rsid w:val="006174D6"/>
    <w:rsid w:val="00617B6B"/>
    <w:rsid w:val="006210A4"/>
    <w:rsid w:val="00621F6E"/>
    <w:rsid w:val="00623343"/>
    <w:rsid w:val="00630FD2"/>
    <w:rsid w:val="00632C07"/>
    <w:rsid w:val="006356F0"/>
    <w:rsid w:val="006435F8"/>
    <w:rsid w:val="00653655"/>
    <w:rsid w:val="00661368"/>
    <w:rsid w:val="00661D4A"/>
    <w:rsid w:val="0066361A"/>
    <w:rsid w:val="00663AE3"/>
    <w:rsid w:val="00674A40"/>
    <w:rsid w:val="00685169"/>
    <w:rsid w:val="006906F9"/>
    <w:rsid w:val="0069105E"/>
    <w:rsid w:val="0069393D"/>
    <w:rsid w:val="006947BF"/>
    <w:rsid w:val="006979A1"/>
    <w:rsid w:val="006A0BAB"/>
    <w:rsid w:val="006A2992"/>
    <w:rsid w:val="006C040D"/>
    <w:rsid w:val="006D140D"/>
    <w:rsid w:val="006D2008"/>
    <w:rsid w:val="006D4F6A"/>
    <w:rsid w:val="006E1478"/>
    <w:rsid w:val="006E365D"/>
    <w:rsid w:val="006F3FB1"/>
    <w:rsid w:val="006F44DF"/>
    <w:rsid w:val="006F4E97"/>
    <w:rsid w:val="006F73E1"/>
    <w:rsid w:val="0072415A"/>
    <w:rsid w:val="00725929"/>
    <w:rsid w:val="00730BCF"/>
    <w:rsid w:val="0073603F"/>
    <w:rsid w:val="00740CBA"/>
    <w:rsid w:val="00763B91"/>
    <w:rsid w:val="00782EAA"/>
    <w:rsid w:val="007B03EC"/>
    <w:rsid w:val="007B298C"/>
    <w:rsid w:val="007B621C"/>
    <w:rsid w:val="007C004F"/>
    <w:rsid w:val="007C5C48"/>
    <w:rsid w:val="007D02E0"/>
    <w:rsid w:val="007D19CC"/>
    <w:rsid w:val="007D4629"/>
    <w:rsid w:val="007E11D1"/>
    <w:rsid w:val="007F1BFE"/>
    <w:rsid w:val="00802D3E"/>
    <w:rsid w:val="008035DE"/>
    <w:rsid w:val="00812B15"/>
    <w:rsid w:val="0081308C"/>
    <w:rsid w:val="008163DE"/>
    <w:rsid w:val="00821CA7"/>
    <w:rsid w:val="00832073"/>
    <w:rsid w:val="00832D42"/>
    <w:rsid w:val="00841D2D"/>
    <w:rsid w:val="00860AA7"/>
    <w:rsid w:val="0087207D"/>
    <w:rsid w:val="00873183"/>
    <w:rsid w:val="00875BB1"/>
    <w:rsid w:val="008770F4"/>
    <w:rsid w:val="00877207"/>
    <w:rsid w:val="0088502C"/>
    <w:rsid w:val="008868E5"/>
    <w:rsid w:val="00893B0A"/>
    <w:rsid w:val="00895578"/>
    <w:rsid w:val="0089783A"/>
    <w:rsid w:val="008A5350"/>
    <w:rsid w:val="008C0750"/>
    <w:rsid w:val="008C124F"/>
    <w:rsid w:val="008C76D5"/>
    <w:rsid w:val="008D1116"/>
    <w:rsid w:val="008D2676"/>
    <w:rsid w:val="008D3191"/>
    <w:rsid w:val="008D70B4"/>
    <w:rsid w:val="008D76A5"/>
    <w:rsid w:val="008E08D3"/>
    <w:rsid w:val="008E6E43"/>
    <w:rsid w:val="008F1C6F"/>
    <w:rsid w:val="008F6D5A"/>
    <w:rsid w:val="008F7C7D"/>
    <w:rsid w:val="00901A25"/>
    <w:rsid w:val="00926FB1"/>
    <w:rsid w:val="00930517"/>
    <w:rsid w:val="009332D7"/>
    <w:rsid w:val="00935646"/>
    <w:rsid w:val="00935D3B"/>
    <w:rsid w:val="00944328"/>
    <w:rsid w:val="00946352"/>
    <w:rsid w:val="00947186"/>
    <w:rsid w:val="00954807"/>
    <w:rsid w:val="00963175"/>
    <w:rsid w:val="0097206D"/>
    <w:rsid w:val="00981D34"/>
    <w:rsid w:val="009853F5"/>
    <w:rsid w:val="00986E97"/>
    <w:rsid w:val="00990E5C"/>
    <w:rsid w:val="00995399"/>
    <w:rsid w:val="009B6B61"/>
    <w:rsid w:val="009C7220"/>
    <w:rsid w:val="009E0E07"/>
    <w:rsid w:val="009E7FF0"/>
    <w:rsid w:val="00A119B0"/>
    <w:rsid w:val="00A1302C"/>
    <w:rsid w:val="00A150FA"/>
    <w:rsid w:val="00A20D26"/>
    <w:rsid w:val="00A21F67"/>
    <w:rsid w:val="00A22103"/>
    <w:rsid w:val="00A26950"/>
    <w:rsid w:val="00A26B13"/>
    <w:rsid w:val="00A27FE6"/>
    <w:rsid w:val="00A316D5"/>
    <w:rsid w:val="00A367E7"/>
    <w:rsid w:val="00A54F95"/>
    <w:rsid w:val="00A55BF5"/>
    <w:rsid w:val="00A70EF9"/>
    <w:rsid w:val="00A71036"/>
    <w:rsid w:val="00A73B70"/>
    <w:rsid w:val="00A9032D"/>
    <w:rsid w:val="00A94018"/>
    <w:rsid w:val="00AA3E90"/>
    <w:rsid w:val="00AA5095"/>
    <w:rsid w:val="00AA6BE0"/>
    <w:rsid w:val="00AA7998"/>
    <w:rsid w:val="00AC29A9"/>
    <w:rsid w:val="00AC4916"/>
    <w:rsid w:val="00AD3629"/>
    <w:rsid w:val="00AD7F85"/>
    <w:rsid w:val="00AE747A"/>
    <w:rsid w:val="00AE763F"/>
    <w:rsid w:val="00AF3A50"/>
    <w:rsid w:val="00AF488C"/>
    <w:rsid w:val="00B012B8"/>
    <w:rsid w:val="00B04218"/>
    <w:rsid w:val="00B14840"/>
    <w:rsid w:val="00B15D54"/>
    <w:rsid w:val="00B16E24"/>
    <w:rsid w:val="00B32752"/>
    <w:rsid w:val="00B61891"/>
    <w:rsid w:val="00B61911"/>
    <w:rsid w:val="00B72C6C"/>
    <w:rsid w:val="00B75E43"/>
    <w:rsid w:val="00B837D4"/>
    <w:rsid w:val="00B94A22"/>
    <w:rsid w:val="00BA2FE3"/>
    <w:rsid w:val="00BB77F0"/>
    <w:rsid w:val="00BC725E"/>
    <w:rsid w:val="00BC7ED4"/>
    <w:rsid w:val="00BE232A"/>
    <w:rsid w:val="00BE6BEE"/>
    <w:rsid w:val="00BF30DD"/>
    <w:rsid w:val="00C22762"/>
    <w:rsid w:val="00C234A5"/>
    <w:rsid w:val="00C279AF"/>
    <w:rsid w:val="00C50E90"/>
    <w:rsid w:val="00C527DA"/>
    <w:rsid w:val="00C56456"/>
    <w:rsid w:val="00C62CD5"/>
    <w:rsid w:val="00C71E1F"/>
    <w:rsid w:val="00C72D25"/>
    <w:rsid w:val="00C75632"/>
    <w:rsid w:val="00C76A1C"/>
    <w:rsid w:val="00C8005D"/>
    <w:rsid w:val="00C8765E"/>
    <w:rsid w:val="00C92AC7"/>
    <w:rsid w:val="00C965DE"/>
    <w:rsid w:val="00CA03F9"/>
    <w:rsid w:val="00CA0414"/>
    <w:rsid w:val="00CA3E9B"/>
    <w:rsid w:val="00CB4242"/>
    <w:rsid w:val="00CC1099"/>
    <w:rsid w:val="00CE0686"/>
    <w:rsid w:val="00CE56BB"/>
    <w:rsid w:val="00CF341F"/>
    <w:rsid w:val="00D014D6"/>
    <w:rsid w:val="00D124C3"/>
    <w:rsid w:val="00D15915"/>
    <w:rsid w:val="00D339D3"/>
    <w:rsid w:val="00D42DBE"/>
    <w:rsid w:val="00D43019"/>
    <w:rsid w:val="00D44ECC"/>
    <w:rsid w:val="00D52D9C"/>
    <w:rsid w:val="00D63122"/>
    <w:rsid w:val="00D76F73"/>
    <w:rsid w:val="00D8117B"/>
    <w:rsid w:val="00D82BA6"/>
    <w:rsid w:val="00DA68F9"/>
    <w:rsid w:val="00DB02E4"/>
    <w:rsid w:val="00DB099F"/>
    <w:rsid w:val="00DB0D9B"/>
    <w:rsid w:val="00DB3CD4"/>
    <w:rsid w:val="00DC19A3"/>
    <w:rsid w:val="00DD1D78"/>
    <w:rsid w:val="00DD2F57"/>
    <w:rsid w:val="00DE41CA"/>
    <w:rsid w:val="00DF7F32"/>
    <w:rsid w:val="00E0483C"/>
    <w:rsid w:val="00E04F2B"/>
    <w:rsid w:val="00E315AC"/>
    <w:rsid w:val="00E32648"/>
    <w:rsid w:val="00E3614A"/>
    <w:rsid w:val="00E37757"/>
    <w:rsid w:val="00E5269A"/>
    <w:rsid w:val="00E658EC"/>
    <w:rsid w:val="00E65F38"/>
    <w:rsid w:val="00E8798F"/>
    <w:rsid w:val="00E9409D"/>
    <w:rsid w:val="00E9510A"/>
    <w:rsid w:val="00EA0379"/>
    <w:rsid w:val="00EA0EA2"/>
    <w:rsid w:val="00EC28E2"/>
    <w:rsid w:val="00EC3B2E"/>
    <w:rsid w:val="00EC55F5"/>
    <w:rsid w:val="00EC6D75"/>
    <w:rsid w:val="00ED7906"/>
    <w:rsid w:val="00EE5BF1"/>
    <w:rsid w:val="00EE5CC9"/>
    <w:rsid w:val="00EE749A"/>
    <w:rsid w:val="00EE7C30"/>
    <w:rsid w:val="00EF1684"/>
    <w:rsid w:val="00EF5A1F"/>
    <w:rsid w:val="00F14727"/>
    <w:rsid w:val="00F14BB7"/>
    <w:rsid w:val="00F2689D"/>
    <w:rsid w:val="00F41B95"/>
    <w:rsid w:val="00F4322E"/>
    <w:rsid w:val="00F45B18"/>
    <w:rsid w:val="00F50B32"/>
    <w:rsid w:val="00F5130C"/>
    <w:rsid w:val="00F617C4"/>
    <w:rsid w:val="00F62F04"/>
    <w:rsid w:val="00F67356"/>
    <w:rsid w:val="00F760AF"/>
    <w:rsid w:val="00F846F8"/>
    <w:rsid w:val="00FA0D0F"/>
    <w:rsid w:val="00FA721D"/>
    <w:rsid w:val="00FB0485"/>
    <w:rsid w:val="00FB1BDE"/>
    <w:rsid w:val="00FC073F"/>
    <w:rsid w:val="00FC0E5D"/>
    <w:rsid w:val="00FC7B65"/>
    <w:rsid w:val="00FD3912"/>
    <w:rsid w:val="00FD5CEB"/>
    <w:rsid w:val="00FD6E66"/>
    <w:rsid w:val="00FF69A5"/>
    <w:rsid w:val="00FF6D5A"/>
    <w:rsid w:val="01043365"/>
    <w:rsid w:val="010C3C8C"/>
    <w:rsid w:val="01A92CDB"/>
    <w:rsid w:val="01AD0A01"/>
    <w:rsid w:val="01B7495C"/>
    <w:rsid w:val="01CC6681"/>
    <w:rsid w:val="01E06D0A"/>
    <w:rsid w:val="01F37C65"/>
    <w:rsid w:val="025A0A5E"/>
    <w:rsid w:val="02766956"/>
    <w:rsid w:val="02821289"/>
    <w:rsid w:val="029C3B80"/>
    <w:rsid w:val="02E44190"/>
    <w:rsid w:val="02E857E5"/>
    <w:rsid w:val="02F216B0"/>
    <w:rsid w:val="02FA7832"/>
    <w:rsid w:val="032A620D"/>
    <w:rsid w:val="032D3D0D"/>
    <w:rsid w:val="032F546A"/>
    <w:rsid w:val="03390267"/>
    <w:rsid w:val="037606D9"/>
    <w:rsid w:val="038F65D9"/>
    <w:rsid w:val="03923AF1"/>
    <w:rsid w:val="03C23AA5"/>
    <w:rsid w:val="048E4C72"/>
    <w:rsid w:val="04945807"/>
    <w:rsid w:val="04DD5477"/>
    <w:rsid w:val="0515034F"/>
    <w:rsid w:val="053E55E9"/>
    <w:rsid w:val="055C592D"/>
    <w:rsid w:val="055F75F1"/>
    <w:rsid w:val="057B5590"/>
    <w:rsid w:val="058F27D8"/>
    <w:rsid w:val="05C85943"/>
    <w:rsid w:val="05FB5164"/>
    <w:rsid w:val="06747CF6"/>
    <w:rsid w:val="06947FED"/>
    <w:rsid w:val="06A04490"/>
    <w:rsid w:val="06BB33BD"/>
    <w:rsid w:val="06EF3D75"/>
    <w:rsid w:val="07176049"/>
    <w:rsid w:val="07510593"/>
    <w:rsid w:val="07805C6B"/>
    <w:rsid w:val="07951E65"/>
    <w:rsid w:val="079A5D68"/>
    <w:rsid w:val="07D80F68"/>
    <w:rsid w:val="080A1CB5"/>
    <w:rsid w:val="08593115"/>
    <w:rsid w:val="08A61291"/>
    <w:rsid w:val="08A64C26"/>
    <w:rsid w:val="08D17F04"/>
    <w:rsid w:val="08D5190C"/>
    <w:rsid w:val="08F71236"/>
    <w:rsid w:val="095D6F1B"/>
    <w:rsid w:val="095D7243"/>
    <w:rsid w:val="095F7812"/>
    <w:rsid w:val="096E6165"/>
    <w:rsid w:val="097659A4"/>
    <w:rsid w:val="09805A82"/>
    <w:rsid w:val="09CB33C0"/>
    <w:rsid w:val="09E36283"/>
    <w:rsid w:val="0A113DE5"/>
    <w:rsid w:val="0A751213"/>
    <w:rsid w:val="0A855967"/>
    <w:rsid w:val="0A965109"/>
    <w:rsid w:val="0AB96535"/>
    <w:rsid w:val="0AF617BA"/>
    <w:rsid w:val="0B0C5D4A"/>
    <w:rsid w:val="0B1B4170"/>
    <w:rsid w:val="0B2B5A29"/>
    <w:rsid w:val="0B332437"/>
    <w:rsid w:val="0B8D5247"/>
    <w:rsid w:val="0B92660C"/>
    <w:rsid w:val="0B937901"/>
    <w:rsid w:val="0BBB349B"/>
    <w:rsid w:val="0BC037DC"/>
    <w:rsid w:val="0BCC1B11"/>
    <w:rsid w:val="0BE217D0"/>
    <w:rsid w:val="0BFD0BED"/>
    <w:rsid w:val="0C107C84"/>
    <w:rsid w:val="0C2762EC"/>
    <w:rsid w:val="0C433BEF"/>
    <w:rsid w:val="0C714A85"/>
    <w:rsid w:val="0CD73828"/>
    <w:rsid w:val="0CDD1A17"/>
    <w:rsid w:val="0CE904AC"/>
    <w:rsid w:val="0D072D1B"/>
    <w:rsid w:val="0D083790"/>
    <w:rsid w:val="0D585C6A"/>
    <w:rsid w:val="0D707D67"/>
    <w:rsid w:val="0D7C091E"/>
    <w:rsid w:val="0D7D5B67"/>
    <w:rsid w:val="0DA25BB2"/>
    <w:rsid w:val="0DAC6B0A"/>
    <w:rsid w:val="0E404AD8"/>
    <w:rsid w:val="0EBA0C2D"/>
    <w:rsid w:val="0ECA24EA"/>
    <w:rsid w:val="0F071E28"/>
    <w:rsid w:val="0F227D10"/>
    <w:rsid w:val="0F29271D"/>
    <w:rsid w:val="0F4F068B"/>
    <w:rsid w:val="0F9D4CCE"/>
    <w:rsid w:val="0FCF298E"/>
    <w:rsid w:val="0FDE15AD"/>
    <w:rsid w:val="105D699F"/>
    <w:rsid w:val="10B1704B"/>
    <w:rsid w:val="10C465F3"/>
    <w:rsid w:val="10EC635E"/>
    <w:rsid w:val="10EF2769"/>
    <w:rsid w:val="112C5B07"/>
    <w:rsid w:val="115512E2"/>
    <w:rsid w:val="11761F78"/>
    <w:rsid w:val="118A4C31"/>
    <w:rsid w:val="11E514C3"/>
    <w:rsid w:val="128C151C"/>
    <w:rsid w:val="12A6718D"/>
    <w:rsid w:val="12BC6796"/>
    <w:rsid w:val="12C42508"/>
    <w:rsid w:val="12E10D00"/>
    <w:rsid w:val="13074750"/>
    <w:rsid w:val="130A6C6C"/>
    <w:rsid w:val="13167041"/>
    <w:rsid w:val="132520E8"/>
    <w:rsid w:val="13AC7742"/>
    <w:rsid w:val="13C848FF"/>
    <w:rsid w:val="14140442"/>
    <w:rsid w:val="145803C6"/>
    <w:rsid w:val="147A17E3"/>
    <w:rsid w:val="14940B7B"/>
    <w:rsid w:val="14DA7661"/>
    <w:rsid w:val="14E36C2C"/>
    <w:rsid w:val="15314C79"/>
    <w:rsid w:val="15390EB6"/>
    <w:rsid w:val="158F0163"/>
    <w:rsid w:val="15BA3BE0"/>
    <w:rsid w:val="15BA6293"/>
    <w:rsid w:val="15BD16FE"/>
    <w:rsid w:val="162B5316"/>
    <w:rsid w:val="16537E7A"/>
    <w:rsid w:val="16674494"/>
    <w:rsid w:val="169564C0"/>
    <w:rsid w:val="16BD352F"/>
    <w:rsid w:val="174A2C00"/>
    <w:rsid w:val="176215F6"/>
    <w:rsid w:val="17BF01A1"/>
    <w:rsid w:val="17CA3A54"/>
    <w:rsid w:val="17F429F2"/>
    <w:rsid w:val="18551BBB"/>
    <w:rsid w:val="18BF4450"/>
    <w:rsid w:val="1919640C"/>
    <w:rsid w:val="195A4F9F"/>
    <w:rsid w:val="19711273"/>
    <w:rsid w:val="19D45798"/>
    <w:rsid w:val="1A031473"/>
    <w:rsid w:val="1A306BA8"/>
    <w:rsid w:val="1A8F267B"/>
    <w:rsid w:val="1AB50AE7"/>
    <w:rsid w:val="1B235DC4"/>
    <w:rsid w:val="1B2A4FA7"/>
    <w:rsid w:val="1B59018D"/>
    <w:rsid w:val="1B8C7230"/>
    <w:rsid w:val="1B8F55B5"/>
    <w:rsid w:val="1BA708B6"/>
    <w:rsid w:val="1BAB508B"/>
    <w:rsid w:val="1C277C12"/>
    <w:rsid w:val="1C361A41"/>
    <w:rsid w:val="1C4C3F62"/>
    <w:rsid w:val="1C6469A8"/>
    <w:rsid w:val="1C7549DD"/>
    <w:rsid w:val="1C8004FF"/>
    <w:rsid w:val="1CED2DE4"/>
    <w:rsid w:val="1CF65E95"/>
    <w:rsid w:val="1CFC4B4D"/>
    <w:rsid w:val="1D966DCC"/>
    <w:rsid w:val="1DD03664"/>
    <w:rsid w:val="1DEC274C"/>
    <w:rsid w:val="1E274DE5"/>
    <w:rsid w:val="1E344EE1"/>
    <w:rsid w:val="1E4949FD"/>
    <w:rsid w:val="1E4A0B6D"/>
    <w:rsid w:val="1E731DA3"/>
    <w:rsid w:val="1E9843C0"/>
    <w:rsid w:val="1E9C23B1"/>
    <w:rsid w:val="1ED668E2"/>
    <w:rsid w:val="1ED83F42"/>
    <w:rsid w:val="1EDB1323"/>
    <w:rsid w:val="1EE45E9B"/>
    <w:rsid w:val="1EF81DD6"/>
    <w:rsid w:val="1F6108B9"/>
    <w:rsid w:val="1FBF5614"/>
    <w:rsid w:val="1FE313C6"/>
    <w:rsid w:val="20787433"/>
    <w:rsid w:val="207C55D4"/>
    <w:rsid w:val="20BC01E2"/>
    <w:rsid w:val="20FB1B56"/>
    <w:rsid w:val="212E066F"/>
    <w:rsid w:val="21373FF9"/>
    <w:rsid w:val="21587DF5"/>
    <w:rsid w:val="21611D15"/>
    <w:rsid w:val="21CF7BCE"/>
    <w:rsid w:val="21F177DC"/>
    <w:rsid w:val="220260F7"/>
    <w:rsid w:val="223D1760"/>
    <w:rsid w:val="228B28D9"/>
    <w:rsid w:val="23BA0B33"/>
    <w:rsid w:val="23C910F3"/>
    <w:rsid w:val="23D41736"/>
    <w:rsid w:val="23E82052"/>
    <w:rsid w:val="240246BD"/>
    <w:rsid w:val="246300FE"/>
    <w:rsid w:val="248D74E6"/>
    <w:rsid w:val="24D46AE9"/>
    <w:rsid w:val="24E96A2F"/>
    <w:rsid w:val="251804EA"/>
    <w:rsid w:val="257B39F3"/>
    <w:rsid w:val="257E2875"/>
    <w:rsid w:val="25B47E1B"/>
    <w:rsid w:val="25DD7500"/>
    <w:rsid w:val="262E73AE"/>
    <w:rsid w:val="26473DA8"/>
    <w:rsid w:val="26560E6A"/>
    <w:rsid w:val="26A224C5"/>
    <w:rsid w:val="26B64B04"/>
    <w:rsid w:val="26CE641F"/>
    <w:rsid w:val="26F96362"/>
    <w:rsid w:val="273D7E50"/>
    <w:rsid w:val="276869B8"/>
    <w:rsid w:val="27B14812"/>
    <w:rsid w:val="27BE44F6"/>
    <w:rsid w:val="27F205D9"/>
    <w:rsid w:val="27FB5005"/>
    <w:rsid w:val="281E3E24"/>
    <w:rsid w:val="28417B95"/>
    <w:rsid w:val="288474A5"/>
    <w:rsid w:val="28BE2E22"/>
    <w:rsid w:val="28C93B38"/>
    <w:rsid w:val="28F0067E"/>
    <w:rsid w:val="291F73CD"/>
    <w:rsid w:val="293F7F6E"/>
    <w:rsid w:val="2959177A"/>
    <w:rsid w:val="296A01B1"/>
    <w:rsid w:val="29841180"/>
    <w:rsid w:val="299B4AB6"/>
    <w:rsid w:val="29B4240D"/>
    <w:rsid w:val="29BF7D44"/>
    <w:rsid w:val="29CF2C5B"/>
    <w:rsid w:val="2A3B662C"/>
    <w:rsid w:val="2A601361"/>
    <w:rsid w:val="2A675227"/>
    <w:rsid w:val="2AA662D5"/>
    <w:rsid w:val="2AF423F3"/>
    <w:rsid w:val="2B0A3DE1"/>
    <w:rsid w:val="2B203E6B"/>
    <w:rsid w:val="2B7B4375"/>
    <w:rsid w:val="2B8A6BB5"/>
    <w:rsid w:val="2BA85812"/>
    <w:rsid w:val="2BDC48CD"/>
    <w:rsid w:val="2BF05B8C"/>
    <w:rsid w:val="2C0D0BD5"/>
    <w:rsid w:val="2C756FF2"/>
    <w:rsid w:val="2C892B19"/>
    <w:rsid w:val="2CBE1B5C"/>
    <w:rsid w:val="2D2C4D23"/>
    <w:rsid w:val="2D5B7F59"/>
    <w:rsid w:val="2D8A40D3"/>
    <w:rsid w:val="2D8C7839"/>
    <w:rsid w:val="2E072821"/>
    <w:rsid w:val="2E181ECC"/>
    <w:rsid w:val="2E331991"/>
    <w:rsid w:val="2EA562CD"/>
    <w:rsid w:val="2F220AE4"/>
    <w:rsid w:val="2F342882"/>
    <w:rsid w:val="2F9B4DE0"/>
    <w:rsid w:val="2FAB0E36"/>
    <w:rsid w:val="2FB91EC7"/>
    <w:rsid w:val="2FBE29B6"/>
    <w:rsid w:val="300318AB"/>
    <w:rsid w:val="30057038"/>
    <w:rsid w:val="31132417"/>
    <w:rsid w:val="311F3437"/>
    <w:rsid w:val="31463B66"/>
    <w:rsid w:val="314767A8"/>
    <w:rsid w:val="3161041F"/>
    <w:rsid w:val="316119F8"/>
    <w:rsid w:val="31EA29C0"/>
    <w:rsid w:val="32202965"/>
    <w:rsid w:val="32244993"/>
    <w:rsid w:val="323A2695"/>
    <w:rsid w:val="326C3E04"/>
    <w:rsid w:val="32835EAA"/>
    <w:rsid w:val="328C3956"/>
    <w:rsid w:val="32C91706"/>
    <w:rsid w:val="32D87185"/>
    <w:rsid w:val="32FD0763"/>
    <w:rsid w:val="33DC7CE1"/>
    <w:rsid w:val="33FE153B"/>
    <w:rsid w:val="34236D67"/>
    <w:rsid w:val="34257544"/>
    <w:rsid w:val="34554DD2"/>
    <w:rsid w:val="34786611"/>
    <w:rsid w:val="34CF6FFC"/>
    <w:rsid w:val="351B7345"/>
    <w:rsid w:val="35426765"/>
    <w:rsid w:val="355E777E"/>
    <w:rsid w:val="35641BAB"/>
    <w:rsid w:val="3579471B"/>
    <w:rsid w:val="35ED27A7"/>
    <w:rsid w:val="366300C8"/>
    <w:rsid w:val="36642EE3"/>
    <w:rsid w:val="36D707F8"/>
    <w:rsid w:val="370E43CB"/>
    <w:rsid w:val="37130660"/>
    <w:rsid w:val="37236C16"/>
    <w:rsid w:val="37342973"/>
    <w:rsid w:val="378D15AD"/>
    <w:rsid w:val="37B277A5"/>
    <w:rsid w:val="37BF0122"/>
    <w:rsid w:val="37D83999"/>
    <w:rsid w:val="388F1AEC"/>
    <w:rsid w:val="38A02798"/>
    <w:rsid w:val="38CA6DBD"/>
    <w:rsid w:val="38CB42D4"/>
    <w:rsid w:val="38F46761"/>
    <w:rsid w:val="38FA2830"/>
    <w:rsid w:val="390F3454"/>
    <w:rsid w:val="39124998"/>
    <w:rsid w:val="391F1B03"/>
    <w:rsid w:val="39533277"/>
    <w:rsid w:val="398B294C"/>
    <w:rsid w:val="39B14500"/>
    <w:rsid w:val="3A36792C"/>
    <w:rsid w:val="3A413F14"/>
    <w:rsid w:val="3A8267C9"/>
    <w:rsid w:val="3ACF4241"/>
    <w:rsid w:val="3B0C2457"/>
    <w:rsid w:val="3B32388C"/>
    <w:rsid w:val="3B817749"/>
    <w:rsid w:val="3B85418F"/>
    <w:rsid w:val="3BBC3566"/>
    <w:rsid w:val="3C0F4E0E"/>
    <w:rsid w:val="3C5D580D"/>
    <w:rsid w:val="3C7A094B"/>
    <w:rsid w:val="3C853F55"/>
    <w:rsid w:val="3CA24C97"/>
    <w:rsid w:val="3CDA7606"/>
    <w:rsid w:val="3CF85CD7"/>
    <w:rsid w:val="3D6018FF"/>
    <w:rsid w:val="3D9A0A3D"/>
    <w:rsid w:val="3DF25FBB"/>
    <w:rsid w:val="3E295EE8"/>
    <w:rsid w:val="3E2C733E"/>
    <w:rsid w:val="3E385AE5"/>
    <w:rsid w:val="3E503AFF"/>
    <w:rsid w:val="3EA8155F"/>
    <w:rsid w:val="3F0874CF"/>
    <w:rsid w:val="3F515660"/>
    <w:rsid w:val="3F5F287B"/>
    <w:rsid w:val="3F815AA3"/>
    <w:rsid w:val="3FAB3DF6"/>
    <w:rsid w:val="3FAE3BAD"/>
    <w:rsid w:val="3FEF34BE"/>
    <w:rsid w:val="40013434"/>
    <w:rsid w:val="4025613A"/>
    <w:rsid w:val="4030574A"/>
    <w:rsid w:val="40B52D12"/>
    <w:rsid w:val="40D259D2"/>
    <w:rsid w:val="40D5311B"/>
    <w:rsid w:val="40F57091"/>
    <w:rsid w:val="412C3AA1"/>
    <w:rsid w:val="41387D4A"/>
    <w:rsid w:val="414D325C"/>
    <w:rsid w:val="41706AB7"/>
    <w:rsid w:val="419D21B8"/>
    <w:rsid w:val="41CC6E56"/>
    <w:rsid w:val="421A4024"/>
    <w:rsid w:val="42490A34"/>
    <w:rsid w:val="424A0C60"/>
    <w:rsid w:val="425D5D49"/>
    <w:rsid w:val="425D6A74"/>
    <w:rsid w:val="42811108"/>
    <w:rsid w:val="428E573A"/>
    <w:rsid w:val="42A50A62"/>
    <w:rsid w:val="42DD1FD0"/>
    <w:rsid w:val="432B1293"/>
    <w:rsid w:val="43482157"/>
    <w:rsid w:val="434E0BE5"/>
    <w:rsid w:val="43510EF4"/>
    <w:rsid w:val="4353275B"/>
    <w:rsid w:val="437C5BEA"/>
    <w:rsid w:val="44070610"/>
    <w:rsid w:val="44676101"/>
    <w:rsid w:val="44712150"/>
    <w:rsid w:val="44C0297D"/>
    <w:rsid w:val="44EF6C5C"/>
    <w:rsid w:val="45000895"/>
    <w:rsid w:val="451A53DC"/>
    <w:rsid w:val="45273D2B"/>
    <w:rsid w:val="45603640"/>
    <w:rsid w:val="45857392"/>
    <w:rsid w:val="459B1114"/>
    <w:rsid w:val="45A47358"/>
    <w:rsid w:val="45A65C07"/>
    <w:rsid w:val="45B853AB"/>
    <w:rsid w:val="45C775EC"/>
    <w:rsid w:val="45DD27C0"/>
    <w:rsid w:val="4610638D"/>
    <w:rsid w:val="4648419C"/>
    <w:rsid w:val="4679203A"/>
    <w:rsid w:val="46993C4B"/>
    <w:rsid w:val="46F76D13"/>
    <w:rsid w:val="473350B5"/>
    <w:rsid w:val="47345D0D"/>
    <w:rsid w:val="473E3625"/>
    <w:rsid w:val="474A5BFD"/>
    <w:rsid w:val="47596292"/>
    <w:rsid w:val="4775698B"/>
    <w:rsid w:val="47B606DB"/>
    <w:rsid w:val="47C8719E"/>
    <w:rsid w:val="482E4111"/>
    <w:rsid w:val="483715BA"/>
    <w:rsid w:val="48B55CE4"/>
    <w:rsid w:val="48FD6D6C"/>
    <w:rsid w:val="4920552D"/>
    <w:rsid w:val="498157F0"/>
    <w:rsid w:val="498563B6"/>
    <w:rsid w:val="498E36C2"/>
    <w:rsid w:val="49A73723"/>
    <w:rsid w:val="49B177B9"/>
    <w:rsid w:val="4A926FCC"/>
    <w:rsid w:val="4A932973"/>
    <w:rsid w:val="4A967757"/>
    <w:rsid w:val="4AAA0FBE"/>
    <w:rsid w:val="4AE43DFD"/>
    <w:rsid w:val="4B4D4A7B"/>
    <w:rsid w:val="4BA438C3"/>
    <w:rsid w:val="4BC35E40"/>
    <w:rsid w:val="4C42652B"/>
    <w:rsid w:val="4C61795D"/>
    <w:rsid w:val="4CBC238E"/>
    <w:rsid w:val="4D0317B0"/>
    <w:rsid w:val="4D1579C3"/>
    <w:rsid w:val="4D3A733D"/>
    <w:rsid w:val="4DA82CB5"/>
    <w:rsid w:val="4DD05F48"/>
    <w:rsid w:val="4E1569F7"/>
    <w:rsid w:val="4E30437C"/>
    <w:rsid w:val="4E8634A8"/>
    <w:rsid w:val="4E9536BA"/>
    <w:rsid w:val="4EA3778B"/>
    <w:rsid w:val="4EAF4CC2"/>
    <w:rsid w:val="4EFA3500"/>
    <w:rsid w:val="4F073135"/>
    <w:rsid w:val="4F3E386E"/>
    <w:rsid w:val="4F7F2E3E"/>
    <w:rsid w:val="4FC729A4"/>
    <w:rsid w:val="4FD04D83"/>
    <w:rsid w:val="50391FEF"/>
    <w:rsid w:val="504F40CF"/>
    <w:rsid w:val="50676A5B"/>
    <w:rsid w:val="50950297"/>
    <w:rsid w:val="50B859FE"/>
    <w:rsid w:val="50F45888"/>
    <w:rsid w:val="51372B5F"/>
    <w:rsid w:val="513806C8"/>
    <w:rsid w:val="51526F7D"/>
    <w:rsid w:val="51597854"/>
    <w:rsid w:val="515D2408"/>
    <w:rsid w:val="51797BB0"/>
    <w:rsid w:val="5185071F"/>
    <w:rsid w:val="51AF1E3E"/>
    <w:rsid w:val="52084D1D"/>
    <w:rsid w:val="520A7F80"/>
    <w:rsid w:val="52485F06"/>
    <w:rsid w:val="525B0E54"/>
    <w:rsid w:val="527051D9"/>
    <w:rsid w:val="52841ACF"/>
    <w:rsid w:val="52876F42"/>
    <w:rsid w:val="528E6BE9"/>
    <w:rsid w:val="52970C1D"/>
    <w:rsid w:val="529F6CAE"/>
    <w:rsid w:val="533169A9"/>
    <w:rsid w:val="535C1735"/>
    <w:rsid w:val="537B1009"/>
    <w:rsid w:val="53AE01C6"/>
    <w:rsid w:val="53B509CF"/>
    <w:rsid w:val="53D11721"/>
    <w:rsid w:val="53EC0C7E"/>
    <w:rsid w:val="54107C85"/>
    <w:rsid w:val="541302BE"/>
    <w:rsid w:val="541A7D8F"/>
    <w:rsid w:val="54484C1D"/>
    <w:rsid w:val="5452503E"/>
    <w:rsid w:val="54C16D91"/>
    <w:rsid w:val="54DF76CA"/>
    <w:rsid w:val="5500209F"/>
    <w:rsid w:val="5505649A"/>
    <w:rsid w:val="555E3E02"/>
    <w:rsid w:val="55952ACF"/>
    <w:rsid w:val="559643DE"/>
    <w:rsid w:val="55E765D6"/>
    <w:rsid w:val="55F968E4"/>
    <w:rsid w:val="56533D5D"/>
    <w:rsid w:val="566E7286"/>
    <w:rsid w:val="566F3BA5"/>
    <w:rsid w:val="56885198"/>
    <w:rsid w:val="56F832B2"/>
    <w:rsid w:val="570A3BA2"/>
    <w:rsid w:val="57116B86"/>
    <w:rsid w:val="571C4F27"/>
    <w:rsid w:val="574523C0"/>
    <w:rsid w:val="575D51D2"/>
    <w:rsid w:val="57D417FB"/>
    <w:rsid w:val="58087A8B"/>
    <w:rsid w:val="58214A60"/>
    <w:rsid w:val="58421069"/>
    <w:rsid w:val="58665345"/>
    <w:rsid w:val="58A451C3"/>
    <w:rsid w:val="58A65F6B"/>
    <w:rsid w:val="58D565B3"/>
    <w:rsid w:val="593C6315"/>
    <w:rsid w:val="59751AA7"/>
    <w:rsid w:val="59A236F0"/>
    <w:rsid w:val="59A52A8F"/>
    <w:rsid w:val="59CD7A53"/>
    <w:rsid w:val="59DB2B49"/>
    <w:rsid w:val="5A0473EC"/>
    <w:rsid w:val="5A432BD2"/>
    <w:rsid w:val="5A813BED"/>
    <w:rsid w:val="5AC81D7F"/>
    <w:rsid w:val="5AD260B9"/>
    <w:rsid w:val="5B015C54"/>
    <w:rsid w:val="5C3B3B34"/>
    <w:rsid w:val="5C901BC3"/>
    <w:rsid w:val="5CE15463"/>
    <w:rsid w:val="5D641DA8"/>
    <w:rsid w:val="5D82649C"/>
    <w:rsid w:val="5D8D07C4"/>
    <w:rsid w:val="5D964E04"/>
    <w:rsid w:val="5DA34007"/>
    <w:rsid w:val="5DAA4C73"/>
    <w:rsid w:val="5DCA0E9A"/>
    <w:rsid w:val="5DF142D6"/>
    <w:rsid w:val="5E11489D"/>
    <w:rsid w:val="5E7064F1"/>
    <w:rsid w:val="5EC024CA"/>
    <w:rsid w:val="5EDA0AD8"/>
    <w:rsid w:val="5EEE2413"/>
    <w:rsid w:val="5F1B4A05"/>
    <w:rsid w:val="5F222ADB"/>
    <w:rsid w:val="5F23151A"/>
    <w:rsid w:val="5F435AE9"/>
    <w:rsid w:val="5F8400D3"/>
    <w:rsid w:val="5FBE3B7B"/>
    <w:rsid w:val="5FEF6C64"/>
    <w:rsid w:val="607250CE"/>
    <w:rsid w:val="60947B10"/>
    <w:rsid w:val="609F64CB"/>
    <w:rsid w:val="60B16885"/>
    <w:rsid w:val="60D42870"/>
    <w:rsid w:val="60DA58C8"/>
    <w:rsid w:val="60E67792"/>
    <w:rsid w:val="611503DC"/>
    <w:rsid w:val="61281E6C"/>
    <w:rsid w:val="61543E14"/>
    <w:rsid w:val="616279F6"/>
    <w:rsid w:val="61845D36"/>
    <w:rsid w:val="61A4141C"/>
    <w:rsid w:val="61B82B7B"/>
    <w:rsid w:val="62063A55"/>
    <w:rsid w:val="62411762"/>
    <w:rsid w:val="62426C0A"/>
    <w:rsid w:val="62435C0C"/>
    <w:rsid w:val="624F5179"/>
    <w:rsid w:val="62522AAA"/>
    <w:rsid w:val="62546A05"/>
    <w:rsid w:val="62815682"/>
    <w:rsid w:val="631E29E3"/>
    <w:rsid w:val="635B3D36"/>
    <w:rsid w:val="635C11A4"/>
    <w:rsid w:val="637C7EEF"/>
    <w:rsid w:val="637F37D5"/>
    <w:rsid w:val="63950410"/>
    <w:rsid w:val="64185CFC"/>
    <w:rsid w:val="642D1FB7"/>
    <w:rsid w:val="64422B4F"/>
    <w:rsid w:val="648363DC"/>
    <w:rsid w:val="657205AC"/>
    <w:rsid w:val="658D3738"/>
    <w:rsid w:val="65AF60D2"/>
    <w:rsid w:val="65B62E64"/>
    <w:rsid w:val="660A0200"/>
    <w:rsid w:val="66167B16"/>
    <w:rsid w:val="66482C47"/>
    <w:rsid w:val="664D4A4E"/>
    <w:rsid w:val="66577068"/>
    <w:rsid w:val="66701A0E"/>
    <w:rsid w:val="66A933CD"/>
    <w:rsid w:val="66FD2BA0"/>
    <w:rsid w:val="675114B3"/>
    <w:rsid w:val="679D3378"/>
    <w:rsid w:val="68746138"/>
    <w:rsid w:val="68B8665F"/>
    <w:rsid w:val="68E66EA8"/>
    <w:rsid w:val="69150A66"/>
    <w:rsid w:val="692D43BB"/>
    <w:rsid w:val="69531C42"/>
    <w:rsid w:val="69F6655C"/>
    <w:rsid w:val="6A076F80"/>
    <w:rsid w:val="6A3269B9"/>
    <w:rsid w:val="6A5713E7"/>
    <w:rsid w:val="6A722671"/>
    <w:rsid w:val="6A794402"/>
    <w:rsid w:val="6A882BA0"/>
    <w:rsid w:val="6B0C3224"/>
    <w:rsid w:val="6B3552D4"/>
    <w:rsid w:val="6B393826"/>
    <w:rsid w:val="6B456AF5"/>
    <w:rsid w:val="6B4E7B3E"/>
    <w:rsid w:val="6B646389"/>
    <w:rsid w:val="6B8654F8"/>
    <w:rsid w:val="6BE018A9"/>
    <w:rsid w:val="6C1D36A5"/>
    <w:rsid w:val="6C3428A9"/>
    <w:rsid w:val="6C990035"/>
    <w:rsid w:val="6CE2718E"/>
    <w:rsid w:val="6D2A4B2A"/>
    <w:rsid w:val="6D540636"/>
    <w:rsid w:val="6D671083"/>
    <w:rsid w:val="6D994E7E"/>
    <w:rsid w:val="6DA621A6"/>
    <w:rsid w:val="6DB566F7"/>
    <w:rsid w:val="6DD5458B"/>
    <w:rsid w:val="6E063EB0"/>
    <w:rsid w:val="6E33798A"/>
    <w:rsid w:val="6E3E4AEE"/>
    <w:rsid w:val="6E7F3781"/>
    <w:rsid w:val="6E85557A"/>
    <w:rsid w:val="6ECC113C"/>
    <w:rsid w:val="6EDA336D"/>
    <w:rsid w:val="6EEA2117"/>
    <w:rsid w:val="6F17236D"/>
    <w:rsid w:val="6F461CBC"/>
    <w:rsid w:val="6F7F7892"/>
    <w:rsid w:val="6F8D522D"/>
    <w:rsid w:val="6FE3140B"/>
    <w:rsid w:val="7048010A"/>
    <w:rsid w:val="70767786"/>
    <w:rsid w:val="70A14DA4"/>
    <w:rsid w:val="70A95B80"/>
    <w:rsid w:val="70D33D21"/>
    <w:rsid w:val="70D35936"/>
    <w:rsid w:val="70F23A14"/>
    <w:rsid w:val="713577A2"/>
    <w:rsid w:val="71605F3F"/>
    <w:rsid w:val="716B7FD1"/>
    <w:rsid w:val="717C61A3"/>
    <w:rsid w:val="71814A07"/>
    <w:rsid w:val="72A94FE0"/>
    <w:rsid w:val="72EB16EA"/>
    <w:rsid w:val="73047468"/>
    <w:rsid w:val="732337C5"/>
    <w:rsid w:val="73482FB5"/>
    <w:rsid w:val="73973B8A"/>
    <w:rsid w:val="73D93A1B"/>
    <w:rsid w:val="73E20A9E"/>
    <w:rsid w:val="74047E01"/>
    <w:rsid w:val="74931499"/>
    <w:rsid w:val="74BC0EB3"/>
    <w:rsid w:val="74D01036"/>
    <w:rsid w:val="74F35622"/>
    <w:rsid w:val="75277A51"/>
    <w:rsid w:val="7597469C"/>
    <w:rsid w:val="75DF51D5"/>
    <w:rsid w:val="76175112"/>
    <w:rsid w:val="76176B00"/>
    <w:rsid w:val="763C5FE4"/>
    <w:rsid w:val="765936B1"/>
    <w:rsid w:val="766036AB"/>
    <w:rsid w:val="7691539A"/>
    <w:rsid w:val="76A95880"/>
    <w:rsid w:val="76C95CC8"/>
    <w:rsid w:val="7731246E"/>
    <w:rsid w:val="773739A7"/>
    <w:rsid w:val="774547F8"/>
    <w:rsid w:val="77647F90"/>
    <w:rsid w:val="777A7E96"/>
    <w:rsid w:val="778B6290"/>
    <w:rsid w:val="77EA574D"/>
    <w:rsid w:val="77F00C24"/>
    <w:rsid w:val="78535056"/>
    <w:rsid w:val="78A37D74"/>
    <w:rsid w:val="78B4536C"/>
    <w:rsid w:val="78CC46B2"/>
    <w:rsid w:val="790E59D8"/>
    <w:rsid w:val="792E4D5A"/>
    <w:rsid w:val="79C757CB"/>
    <w:rsid w:val="79DD6C73"/>
    <w:rsid w:val="79F34FB1"/>
    <w:rsid w:val="7A39226D"/>
    <w:rsid w:val="7A92397F"/>
    <w:rsid w:val="7A927406"/>
    <w:rsid w:val="7A9A73AC"/>
    <w:rsid w:val="7ADC099A"/>
    <w:rsid w:val="7B1D4ACB"/>
    <w:rsid w:val="7B29481A"/>
    <w:rsid w:val="7B3C0579"/>
    <w:rsid w:val="7B887AC8"/>
    <w:rsid w:val="7BA13C73"/>
    <w:rsid w:val="7BCB01C2"/>
    <w:rsid w:val="7BF17F08"/>
    <w:rsid w:val="7C237017"/>
    <w:rsid w:val="7C5E55FA"/>
    <w:rsid w:val="7C8257CB"/>
    <w:rsid w:val="7D5A5E5B"/>
    <w:rsid w:val="7D696EDB"/>
    <w:rsid w:val="7D9550AE"/>
    <w:rsid w:val="7DC520CA"/>
    <w:rsid w:val="7DC608D8"/>
    <w:rsid w:val="7DFC130F"/>
    <w:rsid w:val="7E1D5987"/>
    <w:rsid w:val="7E3C5A9A"/>
    <w:rsid w:val="7E7878AA"/>
    <w:rsid w:val="7E844782"/>
    <w:rsid w:val="7EC75E05"/>
    <w:rsid w:val="7EE644F6"/>
    <w:rsid w:val="7F0B718F"/>
    <w:rsid w:val="7F191B93"/>
    <w:rsid w:val="7F424B19"/>
    <w:rsid w:val="7F9A45D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 w:cs="Times New Roman"/>
      <w:kern w:val="2"/>
      <w:sz w:val="28"/>
      <w:szCs w:val="24"/>
      <w:lang w:val="en-US" w:eastAsia="zh-CN" w:bidi="ar-SA"/>
    </w:rPr>
  </w:style>
  <w:style w:type="paragraph" w:styleId="2">
    <w:name w:val="heading 1"/>
    <w:basedOn w:val="1"/>
    <w:next w:val="1"/>
    <w:link w:val="17"/>
    <w:qFormat/>
    <w:uiPriority w:val="0"/>
    <w:pPr>
      <w:keepNext/>
      <w:keepLines/>
      <w:adjustRightInd w:val="0"/>
      <w:snapToGrid w:val="0"/>
      <w:spacing w:line="360" w:lineRule="auto"/>
      <w:ind w:firstLine="0" w:firstLineChars="0"/>
      <w:outlineLvl w:val="0"/>
    </w:pPr>
    <w:rPr>
      <w:rFonts w:eastAsia="黑体"/>
      <w:bCs/>
      <w:kern w:val="44"/>
      <w:sz w:val="36"/>
      <w:szCs w:val="44"/>
    </w:rPr>
  </w:style>
  <w:style w:type="paragraph" w:styleId="3">
    <w:name w:val="heading 2"/>
    <w:basedOn w:val="1"/>
    <w:next w:val="1"/>
    <w:link w:val="18"/>
    <w:unhideWhenUsed/>
    <w:qFormat/>
    <w:uiPriority w:val="0"/>
    <w:pPr>
      <w:keepNext/>
      <w:keepLines/>
      <w:adjustRightInd w:val="0"/>
      <w:snapToGrid w:val="0"/>
      <w:spacing w:line="360" w:lineRule="auto"/>
      <w:ind w:firstLine="0" w:firstLineChars="0"/>
      <w:outlineLvl w:val="1"/>
    </w:pPr>
    <w:rPr>
      <w:rFonts w:eastAsia="黑体"/>
      <w:bCs/>
      <w:sz w:val="32"/>
      <w:szCs w:val="32"/>
    </w:rPr>
  </w:style>
  <w:style w:type="paragraph" w:styleId="4">
    <w:name w:val="heading 3"/>
    <w:basedOn w:val="1"/>
    <w:next w:val="1"/>
    <w:link w:val="35"/>
    <w:unhideWhenUsed/>
    <w:qFormat/>
    <w:uiPriority w:val="0"/>
    <w:pPr>
      <w:keepNext/>
      <w:keepLines/>
      <w:adjustRightInd w:val="0"/>
      <w:snapToGrid w:val="0"/>
      <w:spacing w:line="360" w:lineRule="auto"/>
      <w:ind w:firstLine="0" w:firstLineChars="0"/>
      <w:outlineLvl w:val="2"/>
    </w:pPr>
    <w:rPr>
      <w:rFonts w:eastAsia="黑体"/>
      <w:bCs/>
      <w:sz w:val="30"/>
      <w:szCs w:val="32"/>
    </w:rPr>
  </w:style>
  <w:style w:type="character" w:default="1" w:styleId="13">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5">
    <w:name w:val="Document Map"/>
    <w:basedOn w:val="1"/>
    <w:link w:val="32"/>
    <w:qFormat/>
    <w:uiPriority w:val="0"/>
    <w:rPr>
      <w:rFonts w:ascii="宋体" w:eastAsia="宋体"/>
      <w:sz w:val="18"/>
      <w:szCs w:val="18"/>
    </w:rPr>
  </w:style>
  <w:style w:type="paragraph" w:styleId="6">
    <w:name w:val="annotation text"/>
    <w:basedOn w:val="1"/>
    <w:qFormat/>
    <w:uiPriority w:val="0"/>
    <w:pPr>
      <w:jc w:val="left"/>
    </w:pPr>
  </w:style>
  <w:style w:type="paragraph" w:styleId="7">
    <w:name w:val="Balloon Text"/>
    <w:basedOn w:val="1"/>
    <w:link w:val="33"/>
    <w:qFormat/>
    <w:uiPriority w:val="0"/>
    <w:rPr>
      <w:sz w:val="18"/>
      <w:szCs w:val="18"/>
    </w:rPr>
  </w:style>
  <w:style w:type="paragraph" w:styleId="8">
    <w:name w:val="footer"/>
    <w:basedOn w:val="1"/>
    <w:link w:val="34"/>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spacing w:line="360" w:lineRule="auto"/>
      <w:ind w:firstLine="0" w:firstLineChars="0"/>
    </w:pPr>
    <w:rPr>
      <w:rFonts w:eastAsia="宋体"/>
      <w:b/>
    </w:rPr>
  </w:style>
  <w:style w:type="paragraph" w:styleId="11">
    <w:name w:val="toc 2"/>
    <w:basedOn w:val="1"/>
    <w:next w:val="1"/>
    <w:qFormat/>
    <w:uiPriority w:val="39"/>
    <w:pPr>
      <w:spacing w:line="360" w:lineRule="auto"/>
    </w:pPr>
    <w:rPr>
      <w:rFonts w:eastAsia="宋体"/>
    </w:rPr>
  </w:style>
  <w:style w:type="paragraph" w:styleId="12">
    <w:name w:val="Body Text 2"/>
    <w:basedOn w:val="1"/>
    <w:qFormat/>
    <w:uiPriority w:val="0"/>
    <w:pPr>
      <w:spacing w:after="120" w:line="480" w:lineRule="auto"/>
    </w:pPr>
  </w:style>
  <w:style w:type="character" w:styleId="14">
    <w:name w:val="page number"/>
    <w:basedOn w:val="13"/>
    <w:qFormat/>
    <w:uiPriority w:val="0"/>
  </w:style>
  <w:style w:type="character" w:styleId="15">
    <w:name w:val="Hyperlink"/>
    <w:basedOn w:val="13"/>
    <w:unhideWhenUsed/>
    <w:qFormat/>
    <w:uiPriority w:val="99"/>
    <w:rPr>
      <w:color w:val="0563C1" w:themeColor="hyperlink"/>
      <w:u w:val="single"/>
    </w:rPr>
  </w:style>
  <w:style w:type="character" w:customStyle="1" w:styleId="17">
    <w:name w:val="标题 1 Char"/>
    <w:link w:val="2"/>
    <w:qFormat/>
    <w:uiPriority w:val="0"/>
    <w:rPr>
      <w:rFonts w:eastAsia="黑体"/>
      <w:bCs/>
      <w:kern w:val="44"/>
      <w:sz w:val="36"/>
      <w:szCs w:val="44"/>
    </w:rPr>
  </w:style>
  <w:style w:type="character" w:customStyle="1" w:styleId="18">
    <w:name w:val="标题 2 Char"/>
    <w:link w:val="3"/>
    <w:qFormat/>
    <w:uiPriority w:val="0"/>
    <w:rPr>
      <w:rFonts w:eastAsia="黑体"/>
      <w:bCs/>
      <w:sz w:val="32"/>
      <w:szCs w:val="32"/>
    </w:rPr>
  </w:style>
  <w:style w:type="paragraph" w:customStyle="1" w:styleId="19">
    <w:name w:val="样式 标题 3 + (中文) 仿宋_GB2312 小三 黑色 首行缩进:  2 字符 段前: 0 磅 段后: 0 磅"/>
    <w:basedOn w:val="4"/>
    <w:qFormat/>
    <w:uiPriority w:val="0"/>
    <w:rPr>
      <w:rFonts w:eastAsia="仿宋_GB2312" w:cs="宋体"/>
      <w:color w:val="000000"/>
      <w:kern w:val="0"/>
      <w:szCs w:val="20"/>
    </w:rPr>
  </w:style>
  <w:style w:type="character" w:customStyle="1" w:styleId="20">
    <w:name w:val="font11"/>
    <w:basedOn w:val="13"/>
    <w:qFormat/>
    <w:uiPriority w:val="0"/>
    <w:rPr>
      <w:rFonts w:hint="eastAsia" w:ascii="宋体" w:hAnsi="宋体" w:eastAsia="宋体" w:cs="宋体"/>
      <w:color w:val="000000"/>
      <w:sz w:val="18"/>
      <w:szCs w:val="18"/>
      <w:u w:val="none"/>
    </w:rPr>
  </w:style>
  <w:style w:type="character" w:customStyle="1" w:styleId="21">
    <w:name w:val="font21"/>
    <w:basedOn w:val="13"/>
    <w:qFormat/>
    <w:uiPriority w:val="0"/>
    <w:rPr>
      <w:rFonts w:hint="eastAsia" w:ascii="宋体" w:hAnsi="宋体" w:eastAsia="宋体" w:cs="宋体"/>
      <w:color w:val="000000"/>
      <w:sz w:val="18"/>
      <w:szCs w:val="18"/>
      <w:u w:val="none"/>
    </w:rPr>
  </w:style>
  <w:style w:type="character" w:customStyle="1" w:styleId="22">
    <w:name w:val="font51"/>
    <w:basedOn w:val="13"/>
    <w:qFormat/>
    <w:uiPriority w:val="0"/>
    <w:rPr>
      <w:rFonts w:hint="default" w:ascii="Times New Roman" w:hAnsi="Times New Roman" w:cs="Times New Roman"/>
      <w:color w:val="000000"/>
      <w:sz w:val="12"/>
      <w:szCs w:val="12"/>
      <w:u w:val="none"/>
    </w:rPr>
  </w:style>
  <w:style w:type="character" w:customStyle="1" w:styleId="23">
    <w:name w:val="font31"/>
    <w:basedOn w:val="13"/>
    <w:qFormat/>
    <w:uiPriority w:val="0"/>
    <w:rPr>
      <w:rFonts w:hint="eastAsia" w:ascii="宋体" w:hAnsi="宋体" w:eastAsia="宋体" w:cs="宋体"/>
      <w:color w:val="000000"/>
      <w:sz w:val="18"/>
      <w:szCs w:val="18"/>
      <w:u w:val="none"/>
    </w:rPr>
  </w:style>
  <w:style w:type="paragraph" w:customStyle="1" w:styleId="24">
    <w:name w:val="样式 标题 2 + 黑色 段前: 4 磅 段后: 4 磅"/>
    <w:basedOn w:val="3"/>
    <w:qFormat/>
    <w:uiPriority w:val="0"/>
    <w:rPr>
      <w:rFonts w:cs="宋体"/>
      <w:bCs w:val="0"/>
      <w:color w:val="000000"/>
      <w:szCs w:val="20"/>
    </w:rPr>
  </w:style>
  <w:style w:type="character" w:customStyle="1" w:styleId="25">
    <w:name w:val="font41"/>
    <w:basedOn w:val="13"/>
    <w:qFormat/>
    <w:uiPriority w:val="0"/>
    <w:rPr>
      <w:rFonts w:hint="default" w:ascii="Times New Roman" w:hAnsi="Times New Roman" w:cs="Times New Roman"/>
      <w:b/>
      <w:color w:val="000000"/>
      <w:sz w:val="18"/>
      <w:szCs w:val="18"/>
      <w:u w:val="none"/>
    </w:rPr>
  </w:style>
  <w:style w:type="character" w:customStyle="1" w:styleId="26">
    <w:name w:val="font01"/>
    <w:basedOn w:val="13"/>
    <w:qFormat/>
    <w:uiPriority w:val="0"/>
    <w:rPr>
      <w:rFonts w:hint="default" w:ascii="Times New Roman" w:hAnsi="Times New Roman" w:cs="Times New Roman"/>
      <w:color w:val="000000"/>
      <w:sz w:val="20"/>
      <w:szCs w:val="20"/>
      <w:u w:val="none"/>
    </w:rPr>
  </w:style>
  <w:style w:type="paragraph" w:customStyle="1" w:styleId="27">
    <w:name w:val="段"/>
    <w:qFormat/>
    <w:uiPriority w:val="0"/>
    <w:pPr>
      <w:autoSpaceDE w:val="0"/>
      <w:autoSpaceDN w:val="0"/>
      <w:ind w:firstLine="200" w:firstLineChars="200"/>
      <w:jc w:val="both"/>
    </w:pPr>
    <w:rPr>
      <w:rFonts w:ascii="宋体" w:hAnsi="Times New Roman" w:eastAsia="宋体" w:cs="Times New Roman"/>
      <w:kern w:val="2"/>
      <w:sz w:val="22"/>
      <w:szCs w:val="22"/>
      <w:lang w:val="en-US" w:eastAsia="zh-CN" w:bidi="ar-SA"/>
    </w:rPr>
  </w:style>
  <w:style w:type="character" w:customStyle="1" w:styleId="28">
    <w:name w:val="font81"/>
    <w:basedOn w:val="13"/>
    <w:qFormat/>
    <w:uiPriority w:val="0"/>
    <w:rPr>
      <w:rFonts w:hint="default" w:ascii="Times New Roman" w:hAnsi="Times New Roman" w:cs="Times New Roman"/>
      <w:b/>
      <w:color w:val="000000"/>
      <w:sz w:val="18"/>
      <w:szCs w:val="18"/>
      <w:u w:val="none"/>
    </w:rPr>
  </w:style>
  <w:style w:type="character" w:customStyle="1" w:styleId="29">
    <w:name w:val="font61"/>
    <w:basedOn w:val="13"/>
    <w:qFormat/>
    <w:uiPriority w:val="0"/>
    <w:rPr>
      <w:rFonts w:hint="default" w:ascii="Times New Roman" w:hAnsi="Times New Roman" w:cs="Times New Roman"/>
      <w:color w:val="000000"/>
      <w:sz w:val="18"/>
      <w:szCs w:val="18"/>
      <w:u w:val="none"/>
    </w:rPr>
  </w:style>
  <w:style w:type="character" w:customStyle="1" w:styleId="30">
    <w:name w:val="font101"/>
    <w:basedOn w:val="13"/>
    <w:qFormat/>
    <w:uiPriority w:val="0"/>
    <w:rPr>
      <w:rFonts w:hint="default" w:ascii="Times New Roman" w:hAnsi="Times New Roman" w:cs="Times New Roman"/>
      <w:b/>
      <w:color w:val="000000"/>
      <w:sz w:val="22"/>
      <w:szCs w:val="22"/>
      <w:u w:val="none"/>
    </w:rPr>
  </w:style>
  <w:style w:type="character" w:customStyle="1" w:styleId="31">
    <w:name w:val="font111"/>
    <w:basedOn w:val="13"/>
    <w:qFormat/>
    <w:uiPriority w:val="0"/>
    <w:rPr>
      <w:rFonts w:hint="default" w:ascii="Times New Roman" w:hAnsi="Times New Roman" w:cs="Times New Roman"/>
      <w:color w:val="000000"/>
      <w:sz w:val="22"/>
      <w:szCs w:val="22"/>
      <w:u w:val="none"/>
    </w:rPr>
  </w:style>
  <w:style w:type="character" w:customStyle="1" w:styleId="32">
    <w:name w:val="文档结构图 Char"/>
    <w:basedOn w:val="13"/>
    <w:link w:val="5"/>
    <w:qFormat/>
    <w:uiPriority w:val="0"/>
    <w:rPr>
      <w:rFonts w:ascii="宋体"/>
      <w:kern w:val="2"/>
      <w:sz w:val="18"/>
      <w:szCs w:val="18"/>
    </w:rPr>
  </w:style>
  <w:style w:type="character" w:customStyle="1" w:styleId="33">
    <w:name w:val="批注框文本 Char"/>
    <w:basedOn w:val="13"/>
    <w:link w:val="7"/>
    <w:qFormat/>
    <w:uiPriority w:val="0"/>
    <w:rPr>
      <w:rFonts w:eastAsia="仿宋"/>
      <w:kern w:val="2"/>
      <w:sz w:val="18"/>
      <w:szCs w:val="18"/>
    </w:rPr>
  </w:style>
  <w:style w:type="character" w:customStyle="1" w:styleId="34">
    <w:name w:val="页脚 Char"/>
    <w:basedOn w:val="13"/>
    <w:link w:val="8"/>
    <w:qFormat/>
    <w:uiPriority w:val="99"/>
    <w:rPr>
      <w:rFonts w:eastAsia="仿宋"/>
      <w:kern w:val="2"/>
      <w:sz w:val="18"/>
      <w:szCs w:val="18"/>
    </w:rPr>
  </w:style>
  <w:style w:type="character" w:customStyle="1" w:styleId="35">
    <w:name w:val="标题 3 Char"/>
    <w:link w:val="4"/>
    <w:qFormat/>
    <w:uiPriority w:val="0"/>
    <w:rPr>
      <w:rFonts w:eastAsia="黑体"/>
      <w:bCs/>
      <w:sz w:val="30"/>
      <w:szCs w:val="32"/>
    </w:rPr>
  </w:style>
  <w:style w:type="paragraph" w:customStyle="1" w:styleId="36">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1.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oleObject" Target="C:\Users\Administrator\Desktop\&#21512;&#20316;&#24066;&#25991;&#26412;\&#20013;&#24515;&#22478;&#21306;&#38598;&#32422;&#21033;&#29992;&#35780;&#20215;&#34920;&#26684;\2.1&#20013;&#24515;&#22478;&#21306;&#29992;&#22320;&#29366;&#20917;&#35780;&#20215;&#24037;&#20316;&#22320;&#22495;&#22303;&#22320;&#21033;&#29992;&#29616;&#2936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effectLst/>
          </c:spPr>
          <c:explosion val="25"/>
          <c:dPt>
            <c:idx val="0"/>
            <c:bubble3D val="0"/>
            <c:explosion val="25"/>
            <c:spPr>
              <a:solidFill>
                <a:schemeClr val="accent1">
                  <a:shade val="76667"/>
                </a:schemeClr>
              </a:solidFill>
              <a:ln>
                <a:noFill/>
              </a:ln>
              <a:effectLst/>
            </c:spPr>
          </c:dPt>
          <c:dPt>
            <c:idx val="1"/>
            <c:bubble3D val="0"/>
            <c:explosion val="25"/>
            <c:spPr>
              <a:solidFill>
                <a:schemeClr val="accent2">
                  <a:shade val="76667"/>
                </a:schemeClr>
              </a:solidFill>
              <a:ln>
                <a:noFill/>
              </a:ln>
              <a:effectLst/>
            </c:spPr>
          </c:dPt>
          <c:dPt>
            <c:idx val="2"/>
            <c:bubble3D val="0"/>
            <c:explosion val="25"/>
            <c:spPr>
              <a:solidFill>
                <a:schemeClr val="accent3">
                  <a:shade val="76667"/>
                </a:schemeClr>
              </a:solidFill>
              <a:ln>
                <a:noFill/>
              </a:ln>
              <a:effectLst/>
            </c:spPr>
          </c:dPt>
          <c:dPt>
            <c:idx val="3"/>
            <c:bubble3D val="0"/>
            <c:explosion val="25"/>
            <c:spPr>
              <a:solidFill>
                <a:schemeClr val="accent4">
                  <a:shade val="76667"/>
                </a:schemeClr>
              </a:solidFill>
              <a:ln>
                <a:noFill/>
              </a:ln>
              <a:effectLst/>
            </c:spPr>
          </c:dPt>
          <c:dPt>
            <c:idx val="4"/>
            <c:bubble3D val="0"/>
            <c:explosion val="25"/>
            <c:spPr>
              <a:solidFill>
                <a:schemeClr val="accent5">
                  <a:shade val="76667"/>
                </a:schemeClr>
              </a:solidFill>
              <a:ln>
                <a:noFill/>
              </a:ln>
              <a:effectLst/>
            </c:spPr>
          </c:dPt>
          <c:dPt>
            <c:idx val="5"/>
            <c:bubble3D val="0"/>
            <c:explosion val="25"/>
            <c:spPr>
              <a:solidFill>
                <a:schemeClr val="accent6">
                  <a:shade val="76667"/>
                </a:schemeClr>
              </a:solidFill>
              <a:ln>
                <a:noFill/>
              </a:ln>
              <a:effectLst/>
            </c:spPr>
          </c:dPt>
          <c:dPt>
            <c:idx val="6"/>
            <c:bubble3D val="0"/>
            <c:explosion val="25"/>
            <c:spPr>
              <a:solidFill>
                <a:schemeClr val="accent1">
                  <a:tint val="76667"/>
                </a:schemeClr>
              </a:solidFill>
              <a:ln>
                <a:noFill/>
              </a:ln>
              <a:effectLst/>
            </c:spPr>
          </c:dPt>
          <c:dPt>
            <c:idx val="7"/>
            <c:bubble3D val="0"/>
            <c:explosion val="25"/>
            <c:spPr>
              <a:solidFill>
                <a:schemeClr val="accent2">
                  <a:tint val="76667"/>
                </a:schemeClr>
              </a:solidFill>
              <a:ln>
                <a:noFill/>
              </a:ln>
              <a:effectLst/>
            </c:spPr>
          </c:dPt>
          <c:dLbls>
            <c:dLbl>
              <c:idx val="3"/>
              <c:layout>
                <c:manualLayout>
                  <c:x val="0.103630173843332"/>
                  <c:y val="-0.167555751335279"/>
                </c:manualLayout>
              </c:layout>
              <c:numFmt formatCode="General" sourceLinked="1"/>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0940507241006818"/>
                  <c:y val="0.0160213798916815"/>
                </c:manualLayout>
              </c:layout>
              <c:numFmt formatCode="General" sourceLinked="1"/>
              <c:dLblPos val="bestFit"/>
              <c:showLegendKey val="0"/>
              <c:showVal val="0"/>
              <c:showCatName val="0"/>
              <c:showSerName val="0"/>
              <c:showPercent val="1"/>
              <c:showBubbleSize val="0"/>
              <c:extLst>
                <c:ext xmlns:c15="http://schemas.microsoft.com/office/drawing/2012/chart" uri="{CE6537A1-D6FC-4f65-9D91-7224C49458BB}">
                  <c15:layout/>
                </c:ext>
              </c:extLst>
            </c:dLbl>
            <c:dLbl>
              <c:idx val="6"/>
              <c:layout>
                <c:manualLayout>
                  <c:x val="0.0243306485680619"/>
                  <c:y val="-0.0106481481481481"/>
                </c:manualLayout>
              </c:layout>
              <c:numFmt formatCode="General" sourceLinked="1"/>
              <c:dLblPos val="bestFit"/>
              <c:showLegendKey val="0"/>
              <c:showVal val="0"/>
              <c:showCatName val="0"/>
              <c:showSerName val="0"/>
              <c:showPercent val="1"/>
              <c:showBubbleSize val="0"/>
              <c:extLst>
                <c:ext xmlns:c15="http://schemas.microsoft.com/office/drawing/2012/chart" uri="{CE6537A1-D6FC-4f65-9D91-7224C49458BB}">
                  <c15:layout/>
                </c:ext>
              </c:extLst>
            </c:dLbl>
            <c:dLbl>
              <c:idx val="7"/>
              <c:layout>
                <c:manualLayout>
                  <c:x val="0.0549173856155078"/>
                  <c:y val="5.01529914912406e-5"/>
                </c:manualLayout>
              </c:layout>
              <c:numFmt formatCode="General" sourceLinked="1"/>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noFill/>
                    <a:ln w="9525" cap="flat" cmpd="sng" algn="ctr">
                      <a:solidFill>
                        <a:schemeClr val="tx1"/>
                      </a:solidFill>
                      <a:prstDash val="solid"/>
                    </a:ln>
                    <a:effectLst/>
                  </c:spPr>
                </c15:leaderLines>
              </c:ext>
            </c:extLst>
          </c:dLbls>
          <c:cat>
            <c:strRef>
              <c:f>Sheet2!$C$4:$C$11</c:f>
              <c:strCache>
                <c:ptCount val="8"/>
                <c:pt idx="0">
                  <c:v>耕地</c:v>
                </c:pt>
                <c:pt idx="1">
                  <c:v>园地</c:v>
                </c:pt>
                <c:pt idx="2">
                  <c:v>林地</c:v>
                </c:pt>
                <c:pt idx="3">
                  <c:v>草地</c:v>
                </c:pt>
                <c:pt idx="4">
                  <c:v>城镇村及工矿用地</c:v>
                </c:pt>
                <c:pt idx="5">
                  <c:v>交通运输用地</c:v>
                </c:pt>
                <c:pt idx="6">
                  <c:v>水域及水利设施用地</c:v>
                </c:pt>
                <c:pt idx="7">
                  <c:v>其它土地</c:v>
                </c:pt>
              </c:strCache>
            </c:strRef>
          </c:cat>
          <c:val>
            <c:numRef>
              <c:f>Sheet2!$D$4:$D$11</c:f>
              <c:numCache>
                <c:formatCode>0.00%</c:formatCode>
                <c:ptCount val="8"/>
                <c:pt idx="0">
                  <c:v>0.0706</c:v>
                </c:pt>
                <c:pt idx="1">
                  <c:v>0.0002</c:v>
                </c:pt>
                <c:pt idx="2">
                  <c:v>0.1294</c:v>
                </c:pt>
                <c:pt idx="3">
                  <c:v>0.757100000000001</c:v>
                </c:pt>
                <c:pt idx="4">
                  <c:v>0.0104</c:v>
                </c:pt>
                <c:pt idx="5">
                  <c:v>0.00520000000000001</c:v>
                </c:pt>
                <c:pt idx="6">
                  <c:v>0.0056</c:v>
                </c:pt>
                <c:pt idx="7">
                  <c:v>0.0216</c:v>
                </c:pt>
              </c:numCache>
            </c:numRef>
          </c:val>
        </c:ser>
        <c:dLbls>
          <c:dLblPos val="bestFit"/>
          <c:showLegendKey val="0"/>
          <c:showVal val="0"/>
          <c:showCatName val="0"/>
          <c:showSerName val="0"/>
          <c:showPercent val="1"/>
          <c:showBubbleSize val="0"/>
          <c:showLeaderLines val="1"/>
        </c:dLbls>
        <c:firstSliceAng val="15"/>
      </c:pieChart>
      <c:spPr>
        <a:no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blipFill>
      <a:blip xmlns:r="http://schemas.openxmlformats.org/officeDocument/2006/relationships" r:embed="rId2"/>
      <a:tile tx="0" ty="0" sx="100000" sy="100000" flip="none" algn="tl"/>
    </a:blipFill>
    <a:ln w="9525" cap="flat" cmpd="sng" algn="ctr">
      <a:solidFill>
        <a:schemeClr val="tx1">
          <a:tint val="75000"/>
        </a:schemeClr>
      </a:solidFill>
      <a:prstDash val="solid"/>
    </a:ln>
    <a:effectLst/>
  </c:spPr>
  <c:txPr>
    <a:bodyPr rot="0" spcFirstLastPara="0" vertOverflow="ellipsis" horzOverflow="overflow" vert="horz" wrap="square" anchor="ctr" anchorCtr="1"/>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D07F9A-DDF7-4DB4-9DC3-F5C6EE8CC91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44</Pages>
  <Words>14622</Words>
  <Characters>19573</Characters>
  <Lines>846</Lines>
  <Paragraphs>238</Paragraphs>
  <ScaleCrop>false</ScaleCrop>
  <LinksUpToDate>false</LinksUpToDate>
  <CharactersWithSpaces>119101</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2018-09-05T01:28:00Z</cp:lastPrinted>
  <dcterms:modified xsi:type="dcterms:W3CDTF">2018-10-23T02:19:11Z</dcterms:modified>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