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0" w:firstLineChars="0"/>
        <w:jc w:val="center"/>
        <w:rPr>
          <w:rFonts w:hint="eastAsia" w:eastAsia="黑体"/>
          <w:color w:val="000000"/>
          <w:sz w:val="48"/>
          <w:szCs w:val="48"/>
          <w:lang w:eastAsia="zh-CN"/>
        </w:rPr>
      </w:pPr>
      <w:r>
        <w:rPr>
          <w:rFonts w:hint="eastAsia" w:eastAsia="黑体"/>
          <w:color w:val="000000"/>
          <w:sz w:val="48"/>
          <w:szCs w:val="48"/>
        </w:rPr>
        <w:t>合作市</w:t>
      </w:r>
      <w:r>
        <w:rPr>
          <w:rFonts w:hint="eastAsia" w:eastAsia="黑体"/>
          <w:color w:val="000000"/>
          <w:sz w:val="48"/>
          <w:szCs w:val="48"/>
          <w:lang w:eastAsia="zh-CN"/>
        </w:rPr>
        <w:t>城镇低效用地再开发</w:t>
      </w:r>
    </w:p>
    <w:p>
      <w:pPr>
        <w:adjustRightInd w:val="0"/>
        <w:snapToGrid w:val="0"/>
        <w:spacing w:line="360" w:lineRule="auto"/>
        <w:ind w:firstLine="0" w:firstLineChars="0"/>
        <w:jc w:val="center"/>
        <w:rPr>
          <w:rFonts w:eastAsia="黑体"/>
          <w:color w:val="000000"/>
          <w:sz w:val="48"/>
          <w:szCs w:val="48"/>
        </w:rPr>
      </w:pPr>
      <w:r>
        <w:rPr>
          <w:rFonts w:hint="eastAsia" w:eastAsia="黑体"/>
          <w:color w:val="000000"/>
          <w:sz w:val="48"/>
          <w:szCs w:val="48"/>
          <w:lang w:eastAsia="zh-CN"/>
        </w:rPr>
        <w:t>规划说明</w:t>
      </w:r>
      <w:r>
        <w:rPr>
          <w:rFonts w:hint="eastAsia" w:eastAsia="黑体"/>
          <w:color w:val="000000"/>
          <w:sz w:val="48"/>
          <w:szCs w:val="48"/>
          <w:lang w:val="en-US" w:eastAsia="zh-CN"/>
        </w:rPr>
        <w:t>(2018-2022)</w:t>
      </w: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ind w:firstLine="600"/>
        <w:jc w:val="center"/>
        <w:rPr>
          <w:rFonts w:eastAsia="黑体"/>
          <w:sz w:val="30"/>
          <w:szCs w:val="30"/>
        </w:rPr>
      </w:pPr>
    </w:p>
    <w:p>
      <w:pPr>
        <w:ind w:firstLine="600"/>
        <w:jc w:val="center"/>
        <w:rPr>
          <w:rFonts w:eastAsia="黑体"/>
          <w:sz w:val="36"/>
          <w:szCs w:val="36"/>
        </w:rPr>
      </w:pPr>
      <w:r>
        <w:rPr>
          <w:rFonts w:hint="eastAsia" w:eastAsia="黑体"/>
          <w:sz w:val="36"/>
          <w:szCs w:val="36"/>
        </w:rPr>
        <w:t>合作</w:t>
      </w:r>
      <w:r>
        <w:rPr>
          <w:rFonts w:hint="eastAsia" w:eastAsia="黑体"/>
          <w:sz w:val="36"/>
          <w:szCs w:val="36"/>
          <w:lang w:eastAsia="zh-CN"/>
        </w:rPr>
        <w:t>市人民政府</w:t>
      </w:r>
    </w:p>
    <w:p>
      <w:pPr>
        <w:adjustRightInd w:val="0"/>
        <w:snapToGrid w:val="0"/>
        <w:spacing w:line="360" w:lineRule="auto"/>
        <w:ind w:firstLine="600"/>
        <w:jc w:val="center"/>
        <w:rPr>
          <w:rFonts w:eastAsia="黑体"/>
          <w:sz w:val="36"/>
          <w:szCs w:val="36"/>
        </w:rPr>
      </w:pPr>
      <w:r>
        <w:rPr>
          <w:rFonts w:hint="eastAsia" w:eastAsia="黑体"/>
          <w:sz w:val="36"/>
          <w:szCs w:val="36"/>
        </w:rPr>
        <w:t>二</w:t>
      </w:r>
      <w:r>
        <w:rPr>
          <w:rFonts w:hint="eastAsia" w:eastAsia="黑体" w:cs="宋体"/>
          <w:sz w:val="36"/>
          <w:szCs w:val="36"/>
        </w:rPr>
        <w:t>〇</w:t>
      </w:r>
      <w:r>
        <w:rPr>
          <w:rFonts w:hint="eastAsia" w:eastAsia="黑体" w:cs="仿宋_GB2312"/>
          <w:sz w:val="36"/>
          <w:szCs w:val="36"/>
        </w:rPr>
        <w:t>一</w:t>
      </w:r>
      <w:r>
        <w:rPr>
          <w:rFonts w:hint="eastAsia" w:eastAsia="黑体" w:cs="仿宋_GB2312"/>
          <w:sz w:val="36"/>
          <w:szCs w:val="36"/>
          <w:lang w:eastAsia="zh-CN"/>
        </w:rPr>
        <w:t>八</w:t>
      </w:r>
      <w:r>
        <w:rPr>
          <w:rFonts w:hint="eastAsia" w:eastAsia="黑体" w:cs="仿宋_GB2312"/>
          <w:sz w:val="36"/>
          <w:szCs w:val="36"/>
        </w:rPr>
        <w:t>年</w:t>
      </w:r>
      <w:r>
        <w:rPr>
          <w:rFonts w:hint="eastAsia" w:eastAsia="黑体" w:cs="仿宋_GB2312"/>
          <w:sz w:val="36"/>
          <w:szCs w:val="36"/>
          <w:lang w:eastAsia="zh-CN"/>
        </w:rPr>
        <w:t>九</w:t>
      </w:r>
      <w:r>
        <w:rPr>
          <w:rFonts w:hint="eastAsia" w:eastAsia="黑体"/>
          <w:sz w:val="36"/>
          <w:szCs w:val="36"/>
        </w:rPr>
        <w:t>月</w:t>
      </w:r>
    </w:p>
    <w:p>
      <w:pPr>
        <w:adjustRightInd w:val="0"/>
        <w:snapToGrid w:val="0"/>
        <w:spacing w:line="360" w:lineRule="auto"/>
        <w:ind w:firstLine="600"/>
        <w:jc w:val="center"/>
        <w:rPr>
          <w:rFonts w:eastAsia="黑体"/>
          <w:sz w:val="30"/>
          <w:szCs w:val="30"/>
        </w:rPr>
      </w:pPr>
    </w:p>
    <w:p>
      <w:pPr>
        <w:adjustRightInd w:val="0"/>
        <w:snapToGrid w:val="0"/>
        <w:spacing w:line="360" w:lineRule="auto"/>
        <w:ind w:firstLine="600"/>
        <w:jc w:val="center"/>
        <w:rPr>
          <w:rFonts w:eastAsia="黑体"/>
          <w:sz w:val="30"/>
          <w:szCs w:val="30"/>
        </w:rPr>
      </w:pPr>
    </w:p>
    <w:p>
      <w:pPr>
        <w:adjustRightInd w:val="0"/>
        <w:snapToGrid w:val="0"/>
        <w:spacing w:line="360" w:lineRule="auto"/>
        <w:ind w:firstLine="600"/>
        <w:jc w:val="center"/>
        <w:rPr>
          <w:rFonts w:eastAsia="黑体"/>
          <w:sz w:val="30"/>
          <w:szCs w:val="30"/>
        </w:rPr>
      </w:pPr>
    </w:p>
    <w:p>
      <w:pPr>
        <w:adjustRightInd w:val="0"/>
        <w:snapToGrid w:val="0"/>
        <w:spacing w:line="360" w:lineRule="auto"/>
        <w:ind w:firstLine="600"/>
        <w:jc w:val="center"/>
        <w:rPr>
          <w:rFonts w:eastAsia="黑体"/>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81" w:charSpace="0"/>
        </w:sectPr>
      </w:pPr>
    </w:p>
    <w:p>
      <w:pPr>
        <w:adjustRightInd w:val="0"/>
        <w:snapToGrid w:val="0"/>
        <w:spacing w:line="360" w:lineRule="auto"/>
        <w:ind w:firstLine="0" w:firstLineChars="0"/>
        <w:jc w:val="center"/>
        <w:rPr>
          <w:rFonts w:eastAsia="黑体"/>
          <w:sz w:val="30"/>
          <w:szCs w:val="30"/>
        </w:rPr>
      </w:pPr>
      <w:r>
        <w:rPr>
          <w:rFonts w:hint="eastAsia" w:eastAsia="黑体"/>
          <w:sz w:val="30"/>
          <w:szCs w:val="30"/>
        </w:rPr>
        <w:t>目  录</w:t>
      </w:r>
    </w:p>
    <w:p>
      <w:pPr>
        <w:pStyle w:val="10"/>
        <w:tabs>
          <w:tab w:val="right" w:leader="dot" w:pos="8306"/>
        </w:tabs>
        <w:rPr>
          <w:rFonts w:ascii="Times New Roman" w:hAnsi="Times New Roman" w:eastAsia="仿宋" w:cs="Times New Roman"/>
          <w:kern w:val="2"/>
          <w:szCs w:val="24"/>
          <w:lang w:val="en-US" w:eastAsia="zh-CN" w:bidi="ar-SA"/>
        </w:rPr>
      </w:pPr>
      <w:r>
        <w:rPr>
          <w:rFonts w:eastAsia="黑体"/>
          <w:sz w:val="30"/>
          <w:szCs w:val="30"/>
        </w:rPr>
        <w:fldChar w:fldCharType="begin"/>
      </w:r>
      <w:r>
        <w:rPr>
          <w:rFonts w:eastAsia="黑体"/>
          <w:sz w:val="30"/>
          <w:szCs w:val="30"/>
        </w:rPr>
        <w:instrText xml:space="preserve"> </w:instrText>
      </w:r>
      <w:r>
        <w:rPr>
          <w:rFonts w:hint="eastAsia" w:eastAsia="黑体"/>
          <w:sz w:val="30"/>
          <w:szCs w:val="30"/>
        </w:rPr>
        <w:instrText xml:space="preserve">TOC \o "1-2" \h \z \u</w:instrText>
      </w:r>
      <w:r>
        <w:rPr>
          <w:rFonts w:eastAsia="黑体"/>
          <w:sz w:val="30"/>
          <w:szCs w:val="30"/>
        </w:rPr>
        <w:instrText xml:space="preserve"> </w:instrText>
      </w:r>
      <w:r>
        <w:rPr>
          <w:rFonts w:eastAsia="黑体"/>
          <w:sz w:val="30"/>
          <w:szCs w:val="30"/>
        </w:rPr>
        <w:fldChar w:fldCharType="separate"/>
      </w: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_Toc8077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一、规划的必要性</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_Toc8077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_Toc25630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（一）落实国家部署的需要</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_Toc25630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_Toc16864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（二）合作市经济社会发展的现实需求</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_Toc16864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_Toc12905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二、项目进展情况</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_Toc12905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_Toc24272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（一）规划编制过程</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_Toc24272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_Toc19788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（二）工作实施情况</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_Toc19788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4</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_Toc7604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三、数据收集与处理</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_Toc7604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5</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_Toc13333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（一）数据收集</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_Toc13333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5</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_Toc2199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（二）数据处理</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_Toc2199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_Toc30927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四、现状与潜力分析</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_Toc30927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_Toc216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（一）现状分析</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_Toc216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_Toc14555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（二）潜力分析</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_Toc14555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7</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_Toc20969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五、规划目标及任务</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_Toc20969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_Toc28458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（一）规划目标 、任务确定的依据</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_Toc28458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_Toc6935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（二）规划任务及目标</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_Toc6935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13</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_Toc5487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六、项目确定原则、依据及方法</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_Toc5487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14</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_Toc20605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（一）项目确定原则</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_Toc20605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14</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_Toc29637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（二）项目确定依据</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_Toc29637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15</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_Toc21640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（三）项目确定的方法</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_Toc21640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_Toc15003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七、公众参与情况</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_Toc15003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_Toc30401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八、规划实施可行性分析</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_Toc30401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_Toc8418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（一）政策可行性</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_Toc8418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_Toc18866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（二）规划可行性</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_Toc18866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17</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_Toc20694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（三）建筑环境适宜</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_Toc20694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17</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_Toc4384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（四）资金来源可靠</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_Toc4384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17</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jc w:val="center"/>
        <w:textAlignment w:val="auto"/>
        <w:outlineLvl w:val="9"/>
        <w:rPr>
          <w:rFonts w:eastAsia="黑体"/>
          <w:sz w:val="30"/>
          <w:szCs w:val="30"/>
        </w:rPr>
      </w:pPr>
      <w:r>
        <w:rPr>
          <w:rFonts w:ascii="Times New Roman" w:hAnsi="Times New Roman" w:eastAsia="黑体" w:cs="Times New Roman"/>
          <w:kern w:val="2"/>
          <w:szCs w:val="30"/>
          <w:lang w:val="en-US" w:eastAsia="zh-CN" w:bidi="ar-SA"/>
        </w:rPr>
        <w:fldChar w:fldCharType="end"/>
      </w:r>
    </w:p>
    <w:p>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600"/>
        <w:jc w:val="center"/>
        <w:textAlignment w:val="auto"/>
        <w:rPr>
          <w:rFonts w:eastAsia="黑体"/>
          <w:sz w:val="30"/>
          <w:szCs w:val="30"/>
        </w:rPr>
      </w:pPr>
    </w:p>
    <w:p>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600"/>
        <w:jc w:val="center"/>
        <w:textAlignment w:val="auto"/>
        <w:rPr>
          <w:rFonts w:eastAsia="黑体"/>
          <w:sz w:val="30"/>
          <w:szCs w:val="30"/>
        </w:rPr>
      </w:pPr>
    </w:p>
    <w:p>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600"/>
        <w:jc w:val="center"/>
        <w:textAlignment w:val="auto"/>
        <w:rPr>
          <w:rFonts w:eastAsia="黑体"/>
          <w:sz w:val="30"/>
          <w:szCs w:val="30"/>
        </w:rPr>
      </w:pPr>
    </w:p>
    <w:p>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600"/>
        <w:jc w:val="center"/>
        <w:textAlignment w:val="auto"/>
        <w:rPr>
          <w:rFonts w:eastAsia="黑体"/>
          <w:sz w:val="30"/>
          <w:szCs w:val="30"/>
        </w:rPr>
      </w:pPr>
    </w:p>
    <w:p>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600"/>
        <w:jc w:val="center"/>
        <w:textAlignment w:val="auto"/>
        <w:rPr>
          <w:rFonts w:eastAsia="黑体"/>
          <w:sz w:val="30"/>
          <w:szCs w:val="30"/>
        </w:rPr>
      </w:pPr>
    </w:p>
    <w:p>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600"/>
        <w:jc w:val="center"/>
        <w:textAlignment w:val="auto"/>
        <w:rPr>
          <w:rFonts w:eastAsia="黑体"/>
          <w:sz w:val="30"/>
          <w:szCs w:val="30"/>
        </w:rPr>
      </w:pPr>
    </w:p>
    <w:p>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600"/>
        <w:jc w:val="center"/>
        <w:textAlignment w:val="auto"/>
        <w:rPr>
          <w:rFonts w:eastAsia="黑体"/>
          <w:sz w:val="30"/>
          <w:szCs w:val="30"/>
        </w:rPr>
        <w:sectPr>
          <w:footerReference r:id="rId9" w:type="default"/>
          <w:pgSz w:w="11906" w:h="16838"/>
          <w:pgMar w:top="1440" w:right="1800" w:bottom="1440" w:left="1800" w:header="851" w:footer="992" w:gutter="0"/>
          <w:pgNumType w:fmt="upperRoman" w:start="1"/>
          <w:cols w:space="720" w:num="1"/>
          <w:docGrid w:type="lines" w:linePitch="312" w:charSpace="0"/>
        </w:sectPr>
      </w:pPr>
    </w:p>
    <w:p>
      <w:pPr>
        <w:pStyle w:val="2"/>
        <w:numPr>
          <w:ilvl w:val="255"/>
          <w:numId w:val="0"/>
        </w:numPr>
      </w:pPr>
      <w:bookmarkStart w:id="0" w:name="_Toc27535"/>
      <w:bookmarkStart w:id="1" w:name="_Toc21092"/>
      <w:bookmarkStart w:id="2" w:name="_Toc8077"/>
      <w:bookmarkStart w:id="3" w:name="_Toc9833"/>
      <w:r>
        <w:rPr>
          <w:rFonts w:hint="eastAsia"/>
        </w:rPr>
        <w:t>一、</w:t>
      </w:r>
      <w:bookmarkEnd w:id="0"/>
      <w:bookmarkEnd w:id="1"/>
      <w:r>
        <w:rPr>
          <w:rFonts w:hint="eastAsia"/>
          <w:lang w:eastAsia="zh-CN"/>
        </w:rPr>
        <w:t>规划的必要性</w:t>
      </w:r>
      <w:bookmarkEnd w:id="2"/>
    </w:p>
    <w:p>
      <w:pPr>
        <w:pStyle w:val="3"/>
        <w:rPr>
          <w:rFonts w:hint="eastAsia"/>
          <w:lang w:eastAsia="zh-CN"/>
        </w:rPr>
      </w:pPr>
      <w:bookmarkStart w:id="4" w:name="_Toc25630"/>
      <w:r>
        <w:rPr>
          <w:rFonts w:hint="eastAsia"/>
          <w:lang w:eastAsia="zh-CN"/>
        </w:rPr>
        <w:t>（一）落实国家部署的需要</w:t>
      </w:r>
      <w:bookmarkEnd w:id="4"/>
    </w:p>
    <w:p>
      <w:pPr>
        <w:rPr>
          <w:rFonts w:hint="eastAsia"/>
          <w:lang w:eastAsia="zh-CN"/>
        </w:rPr>
      </w:pPr>
      <w:r>
        <w:rPr>
          <w:rFonts w:hint="eastAsia"/>
          <w:lang w:val="en-US" w:eastAsia="zh-CN"/>
        </w:rPr>
        <w:t>2016年，</w:t>
      </w:r>
      <w:r>
        <w:rPr>
          <w:rFonts w:hint="eastAsia"/>
          <w:lang w:eastAsia="zh-CN"/>
        </w:rPr>
        <w:t>国土资源部出台关于印发《关于深入推进城镇低效用地再开发的指导意见（试行）》的通知（以下简称“通知”）。通知主要内容包括：（1）提出了城镇低效用地再开发的指导思想、基本原则和总体目标。力求做到土地集约利用水平明显提高，城镇建设用地有效供给得到增强；城镇用地结构明显优化，产业转型升级逐渐加快，投资消费有效增长；城镇基础设施和公共服务设施明显改善，城镇化质量显著提高，经济社会可持续发展能力不断提升。（2）明确内涵，充分发挥专项规划的统领作用。要求各市县人民政府结合地方实际，提出低效用地的具体认定标准，做好调查摸底、标图建库和项目实施方案编制等基础工作。重点组织编制低效用地再开发专项规划，加强规划对开发规模、布局、用途、时序的统领。（3）制定了激励措施。主要5个方面：一是鼓励原国有土地使用权人自主或联合改造开发，二是积极引导城中村集体建设用地改造开发，三是鼓励产业转型升级优化用地结构，四是鼓励集中成片开发，五是加强公共设施和民生项目建设。（4）妥善处理各类历史遗留建设用地问题。按照依法依规、尊重历史的原则，对历史遗留建设用地，以用地行为发生时间为界限，明确了3类不同的处理政策。（5）完善了保障措施。要求加强组织领导、健全民主协商和社会监督机制、强化实施管理、严守廉政纪律、加强宣传引导等等。</w:t>
      </w:r>
    </w:p>
    <w:p>
      <w:pPr>
        <w:rPr>
          <w:rFonts w:hint="eastAsia"/>
          <w:lang w:eastAsia="zh-CN"/>
        </w:rPr>
      </w:pPr>
      <w:r>
        <w:rPr>
          <w:rFonts w:hint="eastAsia"/>
          <w:lang w:eastAsia="zh-CN"/>
        </w:rPr>
        <w:t>本次规划的编制能够很好的夯实城镇土地利用的基础，为低效用地再开发具体实施提供依据。</w:t>
      </w:r>
    </w:p>
    <w:p>
      <w:pPr>
        <w:pStyle w:val="3"/>
        <w:rPr>
          <w:rFonts w:hint="eastAsia"/>
          <w:lang w:eastAsia="zh-CN"/>
        </w:rPr>
      </w:pPr>
      <w:bookmarkStart w:id="5" w:name="_Toc16864"/>
      <w:r>
        <w:rPr>
          <w:rFonts w:hint="eastAsia"/>
          <w:lang w:eastAsia="zh-CN"/>
        </w:rPr>
        <w:t>（二）合作市经济社会发展的现实需求</w:t>
      </w:r>
      <w:bookmarkEnd w:id="5"/>
    </w:p>
    <w:p>
      <w:pPr>
        <w:rPr>
          <w:rFonts w:hint="eastAsia"/>
          <w:lang w:eastAsia="zh-CN"/>
        </w:rPr>
      </w:pPr>
      <w:r>
        <w:rPr>
          <w:rFonts w:hint="eastAsia"/>
          <w:lang w:eastAsia="zh-CN"/>
        </w:rPr>
        <w:t>土地是经济社会发展的最基本物质保障，合作市后备耕地资源匮乏，保护耕地和耕地占补平衡的难度不断加大。同时，“十三五”时期，是我市引领“新常态”的转型期，更是全面深化改革的攻坚期和实现创新驱动的突破期。我市已经进入经济加速发展、产业加速转型、基本公共服务能力加快提升、生态屏障加快建设的关键阶段。这就要求我们必须加强机遇意识和忧患意识，紧紧抓住藏区发展的一切机遇，加快转型发展步伐，大力挖潜城乡存量建设用地中的低效用地，统筹城乡发展，加速实现农村城市化，改善生态环境，节约集约利用土地。编制《规划》有利于调整用地结构，优化用地布局，提高节约集约用地水平，加强生态环境建设。</w:t>
      </w:r>
    </w:p>
    <w:p>
      <w:pPr>
        <w:pStyle w:val="2"/>
        <w:rPr>
          <w:rFonts w:hint="eastAsia"/>
          <w:lang w:eastAsia="zh-CN"/>
        </w:rPr>
      </w:pPr>
      <w:bookmarkStart w:id="6" w:name="_Toc12905"/>
      <w:r>
        <w:rPr>
          <w:rFonts w:hint="eastAsia"/>
          <w:lang w:eastAsia="zh-CN"/>
        </w:rPr>
        <w:t>二、项目进展情况</w:t>
      </w:r>
      <w:bookmarkEnd w:id="6"/>
    </w:p>
    <w:p>
      <w:pPr>
        <w:pStyle w:val="3"/>
        <w:rPr>
          <w:rFonts w:hint="eastAsia"/>
          <w:lang w:eastAsia="zh-CN"/>
        </w:rPr>
      </w:pPr>
      <w:bookmarkStart w:id="7" w:name="_Toc24272"/>
      <w:r>
        <w:rPr>
          <w:rFonts w:hint="eastAsia"/>
          <w:lang w:eastAsia="zh-CN"/>
        </w:rPr>
        <w:t>（一）规划编制过程</w:t>
      </w:r>
      <w:bookmarkEnd w:id="7"/>
    </w:p>
    <w:p>
      <w:pPr>
        <w:rPr>
          <w:rFonts w:hint="eastAsia"/>
          <w:lang w:eastAsia="zh-CN"/>
        </w:rPr>
      </w:pPr>
      <w:r>
        <w:rPr>
          <w:rFonts w:hint="eastAsia"/>
          <w:lang w:eastAsia="zh-CN"/>
        </w:rPr>
        <w:t>按照“布局集中、用地集约、产业集聚”的原则，积极开展合作市城镇低效用地再开发专项规划，充分衔接本市已有的各类规划，做好资料收集以及外业调查等前期工作，汇总分析调查成果，测算潜力，根据合作市城镇低效用地再开发规划目标以及当地的实际情况，合理确定项目选址，落实项目开展时序。本项工作的开展分为六个阶段：</w:t>
      </w:r>
    </w:p>
    <w:p>
      <w:pPr>
        <w:pStyle w:val="4"/>
        <w:rPr>
          <w:rFonts w:hint="eastAsia"/>
          <w:lang w:val="en-US" w:eastAsia="zh-CN"/>
        </w:rPr>
      </w:pPr>
      <w:r>
        <w:rPr>
          <w:rFonts w:hint="eastAsia"/>
          <w:lang w:val="en-US" w:eastAsia="zh-CN"/>
        </w:rPr>
        <w:t>1、资料收集 （2018年7月6日——2018年7月24日）</w:t>
      </w:r>
    </w:p>
    <w:p>
      <w:pPr>
        <w:rPr>
          <w:rFonts w:hint="eastAsia"/>
          <w:lang w:eastAsia="zh-CN"/>
        </w:rPr>
      </w:pPr>
      <w:r>
        <w:rPr>
          <w:rFonts w:hint="eastAsia"/>
          <w:lang w:eastAsia="zh-CN"/>
        </w:rPr>
        <w:t>充分收集土地利用总体规划、土地利用现状变更调查、城镇地籍图、遥感影像、市域总体规划、城镇总体规划、调查区控制性规划、产业规划等资料。</w:t>
      </w:r>
    </w:p>
    <w:p>
      <w:pPr>
        <w:pStyle w:val="4"/>
        <w:rPr>
          <w:rFonts w:hint="eastAsia"/>
          <w:lang w:val="en-US" w:eastAsia="zh-CN"/>
        </w:rPr>
      </w:pPr>
      <w:r>
        <w:rPr>
          <w:rFonts w:hint="eastAsia"/>
          <w:lang w:val="en-US" w:eastAsia="zh-CN"/>
        </w:rPr>
        <w:t>2、内业分析 （2018年7月25日——2018年8月9日）</w:t>
      </w:r>
    </w:p>
    <w:p>
      <w:pPr>
        <w:rPr>
          <w:rFonts w:hint="eastAsia"/>
          <w:lang w:eastAsia="zh-CN"/>
        </w:rPr>
      </w:pPr>
      <w:r>
        <w:rPr>
          <w:rFonts w:hint="eastAsia"/>
          <w:lang w:eastAsia="zh-CN"/>
        </w:rPr>
        <w:t>将土地利用总体规划成果中的城镇扩展边界套合土地利用现状变更调查数据，结合遥感影像图、城镇规划图、城镇地籍图，初步确定调查的基本单元；对确定的调查地块进行编号，以土地利用现状图，或遥感影像图为底图编制工作底图；根据收集到的资料获取权属及坐落、土地面积、现状地类、规划用途、农转用审批等已有信息，生成调查表格。</w:t>
      </w:r>
    </w:p>
    <w:p>
      <w:pPr>
        <w:pStyle w:val="4"/>
        <w:rPr>
          <w:rFonts w:hint="eastAsia"/>
          <w:lang w:val="en-US" w:eastAsia="zh-CN"/>
        </w:rPr>
      </w:pPr>
      <w:r>
        <w:rPr>
          <w:rFonts w:hint="eastAsia"/>
          <w:lang w:val="en-US" w:eastAsia="zh-CN"/>
        </w:rPr>
        <w:t>3、外业调查 （2018年8月10日——2018年8月15日）</w:t>
      </w:r>
    </w:p>
    <w:p>
      <w:pPr>
        <w:rPr>
          <w:rFonts w:hint="eastAsia"/>
          <w:lang w:eastAsia="zh-CN"/>
        </w:rPr>
      </w:pPr>
      <w:r>
        <w:rPr>
          <w:rFonts w:hint="eastAsia"/>
          <w:lang w:eastAsia="zh-CN"/>
        </w:rPr>
        <w:t>将确定好的调查区及调查单元标识在工作底图上，根据调查底图和调查表格开展外业调查工作，明确调查区域的土地利用现状，并按要求逐块逐项填写调查表。主要工作有盘点调查范围内低效利用的“三旧”用地分布及规模，明确调查区内土地权属、用途、产权等信息。</w:t>
      </w:r>
    </w:p>
    <w:p>
      <w:pPr>
        <w:rPr>
          <w:rFonts w:hint="eastAsia"/>
          <w:lang w:eastAsia="zh-CN"/>
        </w:rPr>
      </w:pPr>
      <w:r>
        <w:rPr>
          <w:rFonts w:hint="eastAsia"/>
          <w:lang w:eastAsia="zh-CN"/>
        </w:rPr>
        <w:t xml:space="preserve">调查内容包括：（1）开发利用现状：位置、面积、用途、容积率、建筑密度、投入产出水平、低效用地类型、环境状况、基础设施配套水平、房屋情况等。（2）核查权属相关信息：权利人、权属性质、地类、用地手续等。（3）调查城市建设规划相关信息：规划用途、发展方向、土地利用强度等控制指标。 </w:t>
      </w:r>
    </w:p>
    <w:p>
      <w:pPr>
        <w:rPr>
          <w:rFonts w:hint="eastAsia"/>
          <w:lang w:eastAsia="zh-CN"/>
        </w:rPr>
      </w:pPr>
      <w:r>
        <w:rPr>
          <w:rFonts w:hint="eastAsia"/>
          <w:lang w:eastAsia="zh-CN"/>
        </w:rPr>
        <w:t>对调查数据进行检查与核对，确认无误后汇总形成调查成果清单和调查统计成果汇总表。</w:t>
      </w:r>
    </w:p>
    <w:p>
      <w:pPr>
        <w:pStyle w:val="4"/>
        <w:rPr>
          <w:rFonts w:hint="eastAsia"/>
          <w:lang w:val="en-US" w:eastAsia="zh-CN"/>
        </w:rPr>
      </w:pPr>
      <w:r>
        <w:rPr>
          <w:rFonts w:hint="eastAsia"/>
          <w:lang w:val="en-US" w:eastAsia="zh-CN"/>
        </w:rPr>
        <w:t>4、潜力测算（2018年8月16日——2018年8月24日）</w:t>
      </w:r>
    </w:p>
    <w:p>
      <w:pPr>
        <w:rPr>
          <w:rFonts w:hint="eastAsia"/>
          <w:lang w:eastAsia="zh-CN"/>
        </w:rPr>
      </w:pPr>
      <w:r>
        <w:rPr>
          <w:rFonts w:hint="eastAsia"/>
          <w:lang w:eastAsia="zh-CN"/>
        </w:rPr>
        <w:t>以调查单元为对象，依据调研成果，明确低效用地数量与空间分布，利用Arcgis等软件对低效用地的现状进行分析，详细区分低效用地中各类用地规模、比例、分布；着重分析建设用地利用方面存在的问题。结合城规利用强度、用途规定及国家省、市相关的建设标准，综合考虑各因素，进行潜力挖潜，确定规划期内再开发的低效用地规模、类型、分布。</w:t>
      </w:r>
    </w:p>
    <w:p>
      <w:pPr>
        <w:pStyle w:val="4"/>
        <w:rPr>
          <w:rFonts w:hint="eastAsia"/>
          <w:lang w:val="en-US" w:eastAsia="zh-CN"/>
        </w:rPr>
      </w:pPr>
      <w:r>
        <w:rPr>
          <w:rFonts w:hint="eastAsia"/>
          <w:lang w:val="en-US" w:eastAsia="zh-CN"/>
        </w:rPr>
        <w:t>5、项目安排（2018年8月25日——2018年8月31日）</w:t>
      </w:r>
    </w:p>
    <w:p>
      <w:pPr>
        <w:rPr>
          <w:rFonts w:hint="eastAsia"/>
          <w:lang w:eastAsia="zh-CN"/>
        </w:rPr>
      </w:pPr>
      <w:r>
        <w:rPr>
          <w:rFonts w:hint="eastAsia"/>
          <w:lang w:eastAsia="zh-CN"/>
        </w:rPr>
        <w:t>划分低效用地再开发区域，明确各区域改造开发利用方向、开发模式，合理安排居住、教育、就业、开放空间、公共交通用地，促进结构优化。确定再开发项目区开发利用强度优化目标，明确容积率、建筑密度、地均固定资产投资等控制指标。提出城中村、旧工业区、旧城区、基础设施系统、城市交通系统、城市安全保障、住房配建等方面的更新指引。</w:t>
      </w:r>
    </w:p>
    <w:p>
      <w:pPr>
        <w:pStyle w:val="4"/>
        <w:rPr>
          <w:rFonts w:hint="eastAsia"/>
          <w:lang w:val="en-US" w:eastAsia="zh-CN"/>
        </w:rPr>
      </w:pPr>
      <w:r>
        <w:rPr>
          <w:rFonts w:hint="eastAsia"/>
          <w:lang w:val="en-US" w:eastAsia="zh-CN"/>
        </w:rPr>
        <w:t>6、报告编制（2018年9月1日——2018年9月10日）</w:t>
      </w:r>
    </w:p>
    <w:p>
      <w:pPr>
        <w:rPr>
          <w:rFonts w:hint="eastAsia"/>
          <w:lang w:eastAsia="zh-CN"/>
        </w:rPr>
      </w:pPr>
      <w:r>
        <w:rPr>
          <w:rFonts w:hint="eastAsia"/>
          <w:lang w:eastAsia="zh-CN"/>
        </w:rPr>
        <w:t>按照《国土资源部办公厅关于印发&lt;城镇低效用地再开发规划编制要点&gt;的通知》（国土资利发【2017】47号）文件的要求编制《合作市城镇低效用地再开发技术报告》、《合作市城镇低效用地再开发规划说明》以及编制城镇低效用地再开发栅格图件和表格文件。</w:t>
      </w:r>
    </w:p>
    <w:p>
      <w:pPr>
        <w:pStyle w:val="3"/>
        <w:rPr>
          <w:rFonts w:hint="eastAsia"/>
          <w:lang w:eastAsia="zh-CN"/>
        </w:rPr>
      </w:pPr>
      <w:bookmarkStart w:id="8" w:name="_Toc19788"/>
      <w:r>
        <w:rPr>
          <w:rFonts w:hint="eastAsia"/>
          <w:lang w:eastAsia="zh-CN"/>
        </w:rPr>
        <w:t>（二）工作实施情况</w:t>
      </w:r>
      <w:bookmarkEnd w:id="8"/>
    </w:p>
    <w:p>
      <w:pPr>
        <w:rPr>
          <w:rFonts w:hint="eastAsia"/>
          <w:lang w:eastAsia="zh-CN"/>
        </w:rPr>
      </w:pPr>
      <w:r>
        <w:rPr>
          <w:rFonts w:hint="eastAsia"/>
          <w:lang w:eastAsia="zh-CN"/>
        </w:rPr>
        <w:t>截至目前，合作市低效用地再开发专项规划工作第六阶段已完成。期间各相关委办局积极配合项目编制单位，为项目开展提供了建设性的意见。将各相关单位的意见修改完成后，即可提交成果。</w:t>
      </w:r>
    </w:p>
    <w:p>
      <w:pPr>
        <w:pStyle w:val="2"/>
        <w:rPr>
          <w:rFonts w:hint="eastAsia"/>
          <w:lang w:eastAsia="zh-CN"/>
        </w:rPr>
      </w:pPr>
      <w:bookmarkStart w:id="9" w:name="_Toc7604"/>
      <w:r>
        <w:rPr>
          <w:rFonts w:hint="eastAsia"/>
          <w:lang w:eastAsia="zh-CN"/>
        </w:rPr>
        <w:t>三、数据收集与处理</w:t>
      </w:r>
      <w:bookmarkEnd w:id="9"/>
    </w:p>
    <w:p>
      <w:pPr>
        <w:pStyle w:val="3"/>
        <w:rPr>
          <w:rFonts w:hint="eastAsia"/>
          <w:lang w:eastAsia="zh-CN"/>
        </w:rPr>
      </w:pPr>
      <w:bookmarkStart w:id="10" w:name="_Toc13333"/>
      <w:r>
        <w:rPr>
          <w:rFonts w:hint="eastAsia"/>
          <w:lang w:eastAsia="zh-CN"/>
        </w:rPr>
        <w:t>（一）数据收集</w:t>
      </w:r>
      <w:bookmarkEnd w:id="10"/>
    </w:p>
    <w:p>
      <w:pPr>
        <w:pStyle w:val="4"/>
        <w:rPr>
          <w:rFonts w:hint="eastAsia"/>
          <w:lang w:eastAsia="zh-CN"/>
        </w:rPr>
      </w:pPr>
      <w:r>
        <w:rPr>
          <w:rFonts w:hint="eastAsia"/>
          <w:lang w:val="en-US" w:eastAsia="zh-CN"/>
        </w:rPr>
        <w:t>1</w:t>
      </w:r>
      <w:r>
        <w:rPr>
          <w:rFonts w:hint="eastAsia"/>
          <w:lang w:eastAsia="zh-CN"/>
        </w:rPr>
        <w:t>、市政公用设施水平及环境状况数据调查</w:t>
      </w:r>
    </w:p>
    <w:p>
      <w:pPr>
        <w:rPr>
          <w:rFonts w:hint="eastAsia"/>
          <w:lang w:eastAsia="zh-CN"/>
        </w:rPr>
      </w:pPr>
      <w:r>
        <w:rPr>
          <w:rFonts w:hint="eastAsia"/>
          <w:lang w:eastAsia="zh-CN"/>
        </w:rPr>
        <w:t>主要开展调查单元市政公用设施水平及环境状况数据调查。主要包括城市建成区的建成区道路网密度、用水普及率、燃气普及率、污水处理厂集中处理率、生活垃圾处理率、建成区绿地率、人均绿地面积等统计数据，相关数据主要来源于统计年鉴或年报。</w:t>
      </w:r>
    </w:p>
    <w:p>
      <w:pPr>
        <w:pStyle w:val="4"/>
        <w:rPr>
          <w:rFonts w:hint="eastAsia"/>
          <w:lang w:val="en-US" w:eastAsia="zh-CN"/>
        </w:rPr>
      </w:pPr>
      <w:r>
        <w:rPr>
          <w:rFonts w:hint="eastAsia"/>
          <w:lang w:val="en-US" w:eastAsia="zh-CN"/>
        </w:rPr>
        <w:t>2、基准地价及土地市场交易数据调查</w:t>
      </w:r>
    </w:p>
    <w:p>
      <w:pPr>
        <w:rPr>
          <w:rFonts w:hint="eastAsia"/>
          <w:lang w:eastAsia="zh-CN"/>
        </w:rPr>
      </w:pPr>
      <w:r>
        <w:rPr>
          <w:rFonts w:hint="eastAsia"/>
          <w:lang w:eastAsia="zh-CN"/>
        </w:rPr>
        <w:t>（1）参评城市中心城区的土地级别与基准地价更新成果，其中重点收集基础设施完备度分值资料，土地级别图、基准地价水平、宗地价格计算公式和容积率修正指数等相关参数。</w:t>
      </w:r>
    </w:p>
    <w:p>
      <w:pPr>
        <w:rPr>
          <w:rFonts w:hint="eastAsia"/>
          <w:lang w:eastAsia="zh-CN"/>
        </w:rPr>
      </w:pPr>
      <w:r>
        <w:rPr>
          <w:rFonts w:hint="eastAsia"/>
          <w:lang w:eastAsia="zh-CN"/>
        </w:rPr>
        <w:t>（2）房地产、土地市场地价交易资料等。</w:t>
      </w:r>
    </w:p>
    <w:p>
      <w:pPr>
        <w:rPr>
          <w:rFonts w:hint="eastAsia"/>
          <w:lang w:eastAsia="zh-CN"/>
        </w:rPr>
      </w:pPr>
      <w:r>
        <w:rPr>
          <w:rFonts w:hint="eastAsia"/>
          <w:lang w:eastAsia="zh-CN"/>
        </w:rPr>
        <w:t>（3）土地开发、房地产开发成本构成和相关参数。</w:t>
      </w:r>
    </w:p>
    <w:p>
      <w:pPr>
        <w:pStyle w:val="4"/>
        <w:rPr>
          <w:rFonts w:hint="eastAsia"/>
          <w:lang w:val="en-US" w:eastAsia="zh-CN"/>
        </w:rPr>
      </w:pPr>
      <w:r>
        <w:rPr>
          <w:rFonts w:hint="eastAsia"/>
          <w:lang w:val="en-US" w:eastAsia="zh-CN"/>
        </w:rPr>
        <w:t>3、建设状况调查</w:t>
      </w:r>
    </w:p>
    <w:p>
      <w:pPr>
        <w:rPr>
          <w:rFonts w:hint="eastAsia"/>
          <w:lang w:eastAsia="zh-CN"/>
        </w:rPr>
      </w:pPr>
      <w:r>
        <w:rPr>
          <w:rFonts w:hint="eastAsia"/>
          <w:lang w:eastAsia="zh-CN"/>
        </w:rPr>
        <w:t>（1）调查单元中各宗地建设状况调查：通过地籍图或地形图等资料提取各类建筑物的建筑面积和基底面积。地籍图或影像图未覆盖区域，通过实地调查补测。</w:t>
      </w:r>
    </w:p>
    <w:p>
      <w:pPr>
        <w:rPr>
          <w:rFonts w:hint="eastAsia"/>
          <w:lang w:eastAsia="zh-CN"/>
        </w:rPr>
      </w:pPr>
      <w:r>
        <w:rPr>
          <w:rFonts w:hint="eastAsia"/>
          <w:lang w:eastAsia="zh-CN"/>
        </w:rPr>
        <w:t>（2）各类调查单元现状与规划用途调查：按照调查单元范围提取宗地的变更数据结合实地调研确定地块的现状用途，以控制性详细规划为依据确定同一地块的规划地类及其容积率、建筑密度等数据。</w:t>
      </w:r>
    </w:p>
    <w:p>
      <w:pPr>
        <w:pStyle w:val="3"/>
        <w:rPr>
          <w:rFonts w:hint="eastAsia"/>
          <w:lang w:eastAsia="zh-CN"/>
        </w:rPr>
      </w:pPr>
      <w:bookmarkStart w:id="11" w:name="_Toc2199"/>
      <w:r>
        <w:rPr>
          <w:rFonts w:hint="eastAsia"/>
          <w:lang w:eastAsia="zh-CN"/>
        </w:rPr>
        <w:t>（二）数据处理</w:t>
      </w:r>
      <w:bookmarkEnd w:id="11"/>
    </w:p>
    <w:p>
      <w:pPr>
        <w:pStyle w:val="4"/>
        <w:rPr>
          <w:rFonts w:hint="eastAsia"/>
          <w:lang w:eastAsia="zh-CN"/>
        </w:rPr>
      </w:pPr>
      <w:r>
        <w:rPr>
          <w:rFonts w:hint="eastAsia"/>
          <w:lang w:eastAsia="zh-CN"/>
        </w:rPr>
        <w:t>1、矢量数据坐标系统一</w:t>
      </w:r>
    </w:p>
    <w:p>
      <w:pPr>
        <w:rPr>
          <w:rFonts w:hint="eastAsia"/>
          <w:lang w:eastAsia="zh-CN"/>
        </w:rPr>
      </w:pPr>
      <w:r>
        <w:rPr>
          <w:rFonts w:hint="eastAsia"/>
          <w:lang w:eastAsia="zh-CN"/>
        </w:rPr>
        <w:t>本次城镇低效用地再开发的图件资料主要包括第二次全国土地调查城镇地籍调查部分的1:2000地类（用途）图斑数据、合作市201</w:t>
      </w:r>
      <w:r>
        <w:rPr>
          <w:rFonts w:hint="eastAsia"/>
          <w:lang w:val="en-US" w:eastAsia="zh-CN"/>
        </w:rPr>
        <w:t>6</w:t>
      </w:r>
      <w:r>
        <w:rPr>
          <w:rFonts w:hint="eastAsia"/>
          <w:lang w:eastAsia="zh-CN"/>
        </w:rPr>
        <w:t>年遥感影像数据、土地利用总体规划图、合作市城市总体规划图、合作市城市控制性详细规划图和合作市基准地价成果图件等相关图件数据。</w:t>
      </w:r>
    </w:p>
    <w:p>
      <w:pPr>
        <w:rPr>
          <w:rFonts w:hint="eastAsia"/>
          <w:lang w:eastAsia="zh-CN"/>
        </w:rPr>
      </w:pPr>
      <w:r>
        <w:rPr>
          <w:rFonts w:hint="eastAsia"/>
          <w:lang w:eastAsia="zh-CN"/>
        </w:rPr>
        <w:t>评价中，平面坐标系统统一使用1980年国家大地坐标系，因此，本次评价工作所收集的基础图件资料主要为“1980西安坐标系”，其他数据则相应转换到该坐标系。其中第二次全国土地调查城镇地籍调查部分的1:2000地类（用途）图斑数据、合作市城市总体规划图和合作市城市控制性详细规划图为CAD矢量数据，需完成数据格式转换和坐标转换，合作市201</w:t>
      </w:r>
      <w:r>
        <w:rPr>
          <w:rFonts w:hint="eastAsia"/>
          <w:lang w:val="en-US" w:eastAsia="zh-CN"/>
        </w:rPr>
        <w:t>6</w:t>
      </w:r>
      <w:r>
        <w:rPr>
          <w:rFonts w:hint="eastAsia"/>
          <w:lang w:eastAsia="zh-CN"/>
        </w:rPr>
        <w:t>年遥感影像数据则进行了坐标转换和配准。</w:t>
      </w:r>
    </w:p>
    <w:p>
      <w:pPr>
        <w:pStyle w:val="4"/>
        <w:rPr>
          <w:rFonts w:hint="eastAsia"/>
          <w:lang w:eastAsia="zh-CN"/>
        </w:rPr>
      </w:pPr>
      <w:r>
        <w:rPr>
          <w:rFonts w:hint="eastAsia"/>
          <w:lang w:eastAsia="zh-CN"/>
        </w:rPr>
        <w:t>2、数据计量单位的统一</w:t>
      </w:r>
    </w:p>
    <w:p>
      <w:pPr>
        <w:rPr>
          <w:rFonts w:hint="eastAsia"/>
          <w:lang w:eastAsia="zh-CN"/>
        </w:rPr>
      </w:pPr>
      <w:r>
        <w:rPr>
          <w:rFonts w:hint="eastAsia"/>
          <w:lang w:eastAsia="zh-CN"/>
        </w:rPr>
        <w:t>根据《手册》要求，对各类数据的表述应统一采用法定计量单位，如土地面积单位为hm</w:t>
      </w:r>
      <w:r>
        <w:rPr>
          <w:rFonts w:hint="eastAsia"/>
          <w:vertAlign w:val="superscript"/>
          <w:lang w:eastAsia="zh-CN"/>
        </w:rPr>
        <w:t>2</w:t>
      </w:r>
      <w:r>
        <w:rPr>
          <w:rFonts w:hint="eastAsia"/>
          <w:lang w:eastAsia="zh-CN"/>
        </w:rPr>
        <w:t>，但在收集回来的资料中，部分有关土地面积的单位为亩。在数据整理计算中，项目组完成数据单位统一转换后才进行分析使用。</w:t>
      </w:r>
    </w:p>
    <w:p>
      <w:pPr>
        <w:pStyle w:val="2"/>
        <w:rPr>
          <w:rFonts w:hint="eastAsia"/>
          <w:lang w:eastAsia="zh-CN"/>
        </w:rPr>
      </w:pPr>
      <w:bookmarkStart w:id="12" w:name="_Toc30927"/>
      <w:r>
        <w:rPr>
          <w:rFonts w:hint="eastAsia"/>
          <w:lang w:eastAsia="zh-CN"/>
        </w:rPr>
        <w:t>四、现状与潜力分析</w:t>
      </w:r>
      <w:bookmarkEnd w:id="12"/>
    </w:p>
    <w:p>
      <w:pPr>
        <w:pStyle w:val="3"/>
        <w:rPr>
          <w:rFonts w:hint="eastAsia"/>
          <w:lang w:eastAsia="zh-CN"/>
        </w:rPr>
      </w:pPr>
      <w:bookmarkStart w:id="13" w:name="_Toc216"/>
      <w:r>
        <w:rPr>
          <w:rFonts w:hint="eastAsia"/>
          <w:lang w:eastAsia="zh-CN"/>
        </w:rPr>
        <w:t>（一）现状分析</w:t>
      </w:r>
      <w:bookmarkEnd w:id="13"/>
      <w:bookmarkStart w:id="28" w:name="_GoBack"/>
      <w:bookmarkEnd w:id="28"/>
    </w:p>
    <w:p>
      <w:pPr>
        <w:rPr>
          <w:rFonts w:hint="eastAsia"/>
          <w:lang w:eastAsia="zh-CN"/>
        </w:rPr>
      </w:pPr>
      <w:r>
        <w:rPr>
          <w:rFonts w:hint="eastAsia"/>
          <w:lang w:eastAsia="zh-CN"/>
        </w:rPr>
        <w:t>合作市建设用地集约度从城南城北商业中心向外逐次降低，其中旧城区南部、北部有零星分布的棚户区，面积在</w:t>
      </w:r>
      <w:r>
        <w:rPr>
          <w:rFonts w:hint="eastAsia"/>
          <w:lang w:val="en-US" w:eastAsia="zh-CN"/>
        </w:rPr>
        <w:t>0.05~5.81</w:t>
      </w:r>
      <w:r>
        <w:rPr>
          <w:rFonts w:hint="eastAsia"/>
          <w:lang w:eastAsia="zh-CN"/>
        </w:rPr>
        <w:t>hm</w:t>
      </w:r>
      <w:r>
        <w:rPr>
          <w:rFonts w:hint="eastAsia"/>
          <w:vertAlign w:val="superscript"/>
          <w:lang w:eastAsia="zh-CN"/>
        </w:rPr>
        <w:t>2</w:t>
      </w:r>
      <w:r>
        <w:rPr>
          <w:rFonts w:hint="eastAsia"/>
          <w:lang w:val="en-US" w:eastAsia="zh-CN"/>
        </w:rPr>
        <w:t>之间。区位条件较好，有较大的再开发潜力，本次潜力摸底的调查区主要位于旧城区。城北、城西平房区集中连片，拆迁费用较高，同时距商业中心较远，区位条件并不优渥。经实地调研，平房区环境干净卫生，基础设施配套较为齐全，同时很好的保持了藏区建筑的风格，丰富了城区建筑的多样性，所以规划期内暂且不将其纳入再开发范围。</w:t>
      </w:r>
    </w:p>
    <w:p>
      <w:pPr>
        <w:rPr>
          <w:rFonts w:hint="eastAsia"/>
          <w:lang w:eastAsia="zh-CN"/>
        </w:rPr>
      </w:pPr>
      <w:r>
        <w:rPr>
          <w:rFonts w:hint="eastAsia"/>
          <w:lang w:eastAsia="zh-CN"/>
        </w:rPr>
        <w:t>经摸底调查确定规划期内符合再开发条件的低效地块</w:t>
      </w:r>
      <w:r>
        <w:rPr>
          <w:rFonts w:hint="eastAsia"/>
          <w:lang w:val="en-US" w:eastAsia="zh-CN"/>
        </w:rPr>
        <w:t>25个，</w:t>
      </w:r>
      <w:r>
        <w:rPr>
          <w:rFonts w:hint="eastAsia"/>
          <w:lang w:eastAsia="zh-CN"/>
        </w:rPr>
        <w:t>容积率为0</w:t>
      </w:r>
      <w:r>
        <w:rPr>
          <w:rFonts w:hint="eastAsia"/>
          <w:lang w:val="en-US" w:eastAsia="zh-CN"/>
        </w:rPr>
        <w:t>.18</w:t>
      </w:r>
      <w:r>
        <w:rPr>
          <w:rFonts w:hint="eastAsia"/>
          <w:lang w:eastAsia="zh-CN"/>
        </w:rPr>
        <w:t>~0.5</w:t>
      </w:r>
      <w:r>
        <w:rPr>
          <w:rFonts w:hint="eastAsia"/>
          <w:lang w:val="en-US" w:eastAsia="zh-CN"/>
        </w:rPr>
        <w:t>8</w:t>
      </w:r>
      <w:r>
        <w:rPr>
          <w:rFonts w:hint="eastAsia"/>
          <w:lang w:eastAsia="zh-CN"/>
        </w:rPr>
        <w:t>之间，其中TYGB-4容积率最小为</w:t>
      </w:r>
      <w:r>
        <w:rPr>
          <w:rFonts w:hint="eastAsia"/>
          <w:lang w:val="en-US" w:eastAsia="zh-CN"/>
        </w:rPr>
        <w:t>0.18</w:t>
      </w:r>
      <w:r>
        <w:rPr>
          <w:rFonts w:hint="eastAsia"/>
          <w:lang w:eastAsia="zh-CN"/>
        </w:rPr>
        <w:t>，其现状为住宅区东北角的一块采矿用地，地类属性为工矿仓储用地，本次纳入低效用地再开发范围内；TYGB-2、ZQXJ-1容积率并列最大，均为0.5</w:t>
      </w:r>
      <w:r>
        <w:rPr>
          <w:rFonts w:hint="eastAsia"/>
          <w:lang w:val="en-US" w:eastAsia="zh-CN"/>
        </w:rPr>
        <w:t>8</w:t>
      </w:r>
      <w:r>
        <w:rPr>
          <w:rFonts w:hint="eastAsia"/>
          <w:lang w:eastAsia="zh-CN"/>
        </w:rPr>
        <w:t>，用地现状均为棚户区。因本次调查区内调查单元均为平房，以一层建筑为主，本次调查单元容积率与建筑密度大体相同，分布规律类似。</w:t>
      </w:r>
    </w:p>
    <w:p>
      <w:pPr>
        <w:rPr>
          <w:rFonts w:hint="eastAsia"/>
          <w:lang w:eastAsia="zh-CN"/>
        </w:rPr>
      </w:pPr>
      <w:r>
        <w:rPr>
          <w:rFonts w:hint="eastAsia"/>
          <w:lang w:eastAsia="zh-CN"/>
        </w:rPr>
        <w:t>城镇低效用地调查范围内，房屋建筑均以砖混房屋为主，少量的土木结构平房间杂其中，房龄大部分在三十年以上。基础设施配套水平不高，城镇低效用地调查范围内虽通水、通电，但燃气与暖气没有供应。同时调查范围内入户电线老化严重，安全隐患大，但大部分调查单元区位条件优异，有较高的棚户区改造潜力。</w:t>
      </w:r>
    </w:p>
    <w:p>
      <w:pPr>
        <w:pStyle w:val="3"/>
        <w:numPr>
          <w:ilvl w:val="0"/>
          <w:numId w:val="0"/>
        </w:numPr>
        <w:rPr>
          <w:rFonts w:hint="eastAsia"/>
          <w:lang w:eastAsia="zh-CN"/>
        </w:rPr>
      </w:pPr>
      <w:bookmarkStart w:id="14" w:name="_Toc14555"/>
      <w:r>
        <w:rPr>
          <w:rFonts w:hint="eastAsia"/>
          <w:lang w:eastAsia="zh-CN"/>
        </w:rPr>
        <w:t>（二）潜力分析</w:t>
      </w:r>
      <w:bookmarkEnd w:id="14"/>
    </w:p>
    <w:p>
      <w:pPr>
        <w:pStyle w:val="4"/>
        <w:rPr>
          <w:rFonts w:hint="eastAsia"/>
          <w:lang w:eastAsia="zh-CN"/>
        </w:rPr>
      </w:pPr>
      <w:r>
        <w:rPr>
          <w:rFonts w:hint="eastAsia"/>
          <w:lang w:val="en-US" w:eastAsia="zh-CN"/>
        </w:rPr>
        <w:t>1、</w:t>
      </w:r>
      <w:r>
        <w:rPr>
          <w:rFonts w:hint="eastAsia"/>
          <w:lang w:eastAsia="zh-CN"/>
        </w:rPr>
        <w:t>理论潜力</w:t>
      </w:r>
    </w:p>
    <w:p>
      <w:pPr>
        <w:rPr>
          <w:rFonts w:hint="eastAsia"/>
          <w:lang w:eastAsia="zh-CN"/>
        </w:rPr>
      </w:pPr>
      <w:r>
        <w:rPr>
          <w:rFonts w:hint="eastAsia"/>
          <w:lang w:eastAsia="zh-CN"/>
        </w:rPr>
        <w:t>城镇低效用地集约利用潜力是指城镇扩展边界内，在现有技术、经济和制度条件下，通过提高土地集约利用程度，提升建设用地利用效率和经济效益的空间。</w:t>
      </w:r>
    </w:p>
    <w:p>
      <w:pPr>
        <w:rPr>
          <w:rFonts w:hint="eastAsia"/>
          <w:lang w:eastAsia="zh-CN"/>
        </w:rPr>
      </w:pPr>
      <w:r>
        <w:rPr>
          <w:rFonts w:hint="eastAsia"/>
          <w:lang w:eastAsia="zh-CN"/>
        </w:rPr>
        <w:t>城镇低效用地再开发的潜力认定标准主要有：（</w:t>
      </w:r>
      <w:r>
        <w:rPr>
          <w:rFonts w:hint="eastAsia"/>
          <w:lang w:val="en-US" w:eastAsia="zh-CN"/>
        </w:rPr>
        <w:t>1</w:t>
      </w:r>
      <w:r>
        <w:rPr>
          <w:rFonts w:hint="eastAsia"/>
          <w:lang w:eastAsia="zh-CN"/>
        </w:rPr>
        <w:t>）不符合现有土地利用总体规划和城市规划、产业发展规划；（</w:t>
      </w:r>
      <w:r>
        <w:rPr>
          <w:rFonts w:hint="eastAsia"/>
          <w:lang w:val="en-US" w:eastAsia="zh-CN"/>
        </w:rPr>
        <w:t>2</w:t>
      </w:r>
      <w:r>
        <w:rPr>
          <w:rFonts w:hint="eastAsia"/>
          <w:lang w:eastAsia="zh-CN"/>
        </w:rPr>
        <w:t>）不符合安全生产和环保要求；（</w:t>
      </w:r>
      <w:r>
        <w:rPr>
          <w:rFonts w:hint="eastAsia"/>
          <w:lang w:val="en-US" w:eastAsia="zh-CN"/>
        </w:rPr>
        <w:t>3</w:t>
      </w:r>
      <w:r>
        <w:rPr>
          <w:rFonts w:hint="eastAsia"/>
          <w:lang w:eastAsia="zh-CN"/>
        </w:rPr>
        <w:t>）为禁止、淘汰、退二进三产业用地；（</w:t>
      </w:r>
      <w:r>
        <w:rPr>
          <w:rFonts w:hint="eastAsia"/>
          <w:lang w:val="en-US" w:eastAsia="zh-CN"/>
        </w:rPr>
        <w:t>4</w:t>
      </w:r>
      <w:r>
        <w:rPr>
          <w:rFonts w:hint="eastAsia"/>
          <w:lang w:eastAsia="zh-CN"/>
        </w:rPr>
        <w:t>）已列入老城区、城中村、棚户区和老工业区等改造计划；理论上符合以上标准即认定为低效用地，具有再开发的潜力。</w:t>
      </w:r>
    </w:p>
    <w:p>
      <w:pPr>
        <w:rPr>
          <w:rFonts w:hint="eastAsia"/>
          <w:lang w:eastAsia="zh-CN"/>
        </w:rPr>
      </w:pPr>
      <w:r>
        <w:rPr>
          <w:rFonts w:hint="eastAsia"/>
          <w:lang w:eastAsia="zh-CN"/>
        </w:rPr>
        <w:t>经规划与现状对照排查确定不符合规划的地块图斑</w:t>
      </w:r>
      <w:r>
        <w:rPr>
          <w:rFonts w:hint="eastAsia"/>
          <w:lang w:val="en-US" w:eastAsia="zh-CN"/>
        </w:rPr>
        <w:t>:15个，详见表4.1：</w:t>
      </w:r>
    </w:p>
    <w:p>
      <w:pPr>
        <w:ind w:firstLine="560"/>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4.1 </w:t>
      </w:r>
      <w:r>
        <w:rPr>
          <w:rFonts w:hint="eastAsia"/>
          <w:b/>
          <w:bCs/>
          <w:highlight w:val="none"/>
        </w:rPr>
        <w:t>城镇低效用地</w:t>
      </w:r>
      <w:r>
        <w:rPr>
          <w:rFonts w:hint="eastAsia"/>
          <w:b/>
          <w:bCs/>
          <w:highlight w:val="none"/>
          <w:lang w:eastAsia="zh-CN"/>
        </w:rPr>
        <w:t>再开发不合规图斑</w:t>
      </w:r>
      <w:r>
        <w:rPr>
          <w:rFonts w:hint="eastAsia"/>
          <w:b/>
          <w:bCs/>
          <w:highlight w:val="none"/>
        </w:rPr>
        <w:t>汇总表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单位：公顷、个</w:t>
      </w:r>
    </w:p>
    <w:tbl>
      <w:tblPr>
        <w:tblStyle w:val="16"/>
        <w:tblW w:w="83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93"/>
        <w:gridCol w:w="741"/>
        <w:gridCol w:w="914"/>
        <w:gridCol w:w="668"/>
        <w:gridCol w:w="682"/>
        <w:gridCol w:w="504"/>
        <w:gridCol w:w="1364"/>
        <w:gridCol w:w="1173"/>
        <w:gridCol w:w="930"/>
        <w:gridCol w:w="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10" w:hRule="atLeast"/>
          <w:tblHeader/>
        </w:trPr>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县（市、区）</w:t>
            </w:r>
          </w:p>
        </w:tc>
        <w:tc>
          <w:tcPr>
            <w:tcW w:w="741"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调查区编号</w:t>
            </w:r>
          </w:p>
        </w:tc>
        <w:tc>
          <w:tcPr>
            <w:tcW w:w="914"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调查单元数量</w:t>
            </w:r>
          </w:p>
        </w:tc>
        <w:tc>
          <w:tcPr>
            <w:tcW w:w="668"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调查单元总面积</w:t>
            </w:r>
          </w:p>
        </w:tc>
        <w:tc>
          <w:tcPr>
            <w:tcW w:w="682"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低效用地总面积</w:t>
            </w:r>
          </w:p>
        </w:tc>
        <w:tc>
          <w:tcPr>
            <w:tcW w:w="504"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人口</w:t>
            </w:r>
          </w:p>
        </w:tc>
        <w:tc>
          <w:tcPr>
            <w:tcW w:w="136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现状用途</w:t>
            </w:r>
          </w:p>
        </w:tc>
        <w:tc>
          <w:tcPr>
            <w:tcW w:w="1173"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规划用途</w:t>
            </w:r>
          </w:p>
        </w:tc>
        <w:tc>
          <w:tcPr>
            <w:tcW w:w="930" w:type="dxa"/>
            <w:tcBorders>
              <w:top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基础设施配套情况</w:t>
            </w:r>
          </w:p>
        </w:tc>
        <w:tc>
          <w:tcPr>
            <w:tcW w:w="666" w:type="dxa"/>
            <w:tcBorders>
              <w:top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房屋建筑质量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restart"/>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CBXQ</w:t>
            </w: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CBXQ-1</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3.64</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3.64</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930"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continue"/>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CBXQ-2</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4.13</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4.13</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519</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CNPCSD</w:t>
            </w: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CNPCSD-1</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5.81</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5.81</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849</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FG</w:t>
            </w: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FG-1</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4.84</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4.84</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restart"/>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w:t>
            </w: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LYRY-3</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121</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continue"/>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LYRY-4</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1.03</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1.03</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restart"/>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w:t>
            </w: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SZF-1</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1.39</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1.39</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248</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continue"/>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SZF-3</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0.67</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0.67</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continue"/>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SZF-4</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348</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continue"/>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SZF-5</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1.98</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1.98</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348</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restart"/>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w:t>
            </w: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TYGB-2</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1.63</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1.63</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352</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continue"/>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TYGB-3</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0.13</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0.13</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vMerge w:val="continue"/>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TYGB-4</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0.05</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0.05</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ZQXJ</w:t>
            </w: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ZQXJ-1</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0.83</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0.83</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93"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41"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w:t>
            </w:r>
          </w:p>
        </w:tc>
        <w:tc>
          <w:tcPr>
            <w:tcW w:w="91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ZYCJ-4</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0.46</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0.46</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48" w:type="dxa"/>
            <w:gridSpan w:val="3"/>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668"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29.57</w:t>
            </w:r>
          </w:p>
        </w:tc>
        <w:tc>
          <w:tcPr>
            <w:tcW w:w="682"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29.57</w:t>
            </w:r>
          </w:p>
        </w:tc>
        <w:tc>
          <w:tcPr>
            <w:tcW w:w="50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2805</w:t>
            </w:r>
          </w:p>
        </w:tc>
        <w:tc>
          <w:tcPr>
            <w:tcW w:w="1364"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173"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30"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66" w:type="dxa"/>
            <w:tcBorders>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pPr>
        <w:rPr>
          <w:rFonts w:hint="eastAsia"/>
          <w:lang w:eastAsia="zh-CN"/>
        </w:rPr>
      </w:pPr>
      <w:r>
        <w:rPr>
          <w:rFonts w:hint="eastAsia"/>
          <w:lang w:eastAsia="zh-CN"/>
        </w:rPr>
        <w:t>不符合规划的地块共计</w:t>
      </w:r>
      <w:r>
        <w:rPr>
          <w:rFonts w:hint="eastAsia"/>
          <w:lang w:val="en-US" w:eastAsia="zh-CN"/>
        </w:rPr>
        <w:t>15</w:t>
      </w:r>
      <w:r>
        <w:rPr>
          <w:rFonts w:hint="eastAsia"/>
          <w:lang w:eastAsia="zh-CN"/>
        </w:rPr>
        <w:t>个，低效用地面积</w:t>
      </w:r>
      <w:r>
        <w:rPr>
          <w:rFonts w:hint="eastAsia"/>
          <w:lang w:val="en-US" w:eastAsia="zh-CN"/>
        </w:rPr>
        <w:t>29.57公顷，大多为棚户区，房屋建筑以砖混为主，间杂土木结构，离商业中心较近，有较大的再开发潜力。</w:t>
      </w:r>
    </w:p>
    <w:p>
      <w:pPr>
        <w:rPr>
          <w:rFonts w:hint="eastAsia"/>
          <w:lang w:eastAsia="zh-CN"/>
        </w:rPr>
      </w:pPr>
      <w:r>
        <w:rPr>
          <w:rFonts w:hint="eastAsia"/>
          <w:lang w:eastAsia="zh-CN"/>
        </w:rPr>
        <w:t>合作市建成区暂未有不符合安全生产和环保要求的地块，禁止、淘汰、退二进三产业用地的图斑共一个</w:t>
      </w:r>
      <w:r>
        <w:rPr>
          <w:rFonts w:hint="eastAsia"/>
          <w:lang w:val="en-US" w:eastAsia="zh-CN"/>
        </w:rPr>
        <w:t>LYRY-4，</w:t>
      </w:r>
      <w:r>
        <w:rPr>
          <w:rFonts w:hint="eastAsia"/>
          <w:lang w:eastAsia="zh-CN"/>
        </w:rPr>
        <w:t>已列入老城区、城中村、棚户区和老工业区等改造计划的图斑共计</w:t>
      </w:r>
      <w:r>
        <w:rPr>
          <w:rFonts w:hint="eastAsia"/>
          <w:lang w:val="en-US" w:eastAsia="zh-CN"/>
        </w:rPr>
        <w:t>14个，</w:t>
      </w:r>
    </w:p>
    <w:p>
      <w:pPr>
        <w:ind w:firstLine="560"/>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4.2 </w:t>
      </w:r>
      <w:r>
        <w:rPr>
          <w:rFonts w:hint="eastAsia"/>
          <w:b/>
          <w:bCs/>
          <w:highlight w:val="none"/>
        </w:rPr>
        <w:t>城镇低效用地</w:t>
      </w:r>
      <w:r>
        <w:rPr>
          <w:rFonts w:hint="eastAsia"/>
          <w:b/>
          <w:bCs/>
          <w:highlight w:val="none"/>
          <w:lang w:eastAsia="zh-CN"/>
        </w:rPr>
        <w:t>再开发棚改图斑</w:t>
      </w:r>
      <w:r>
        <w:rPr>
          <w:rFonts w:hint="eastAsia"/>
          <w:b/>
          <w:bCs/>
          <w:highlight w:val="none"/>
        </w:rPr>
        <w:t>汇总表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单位：公顷、个</w:t>
      </w:r>
    </w:p>
    <w:tbl>
      <w:tblPr>
        <w:tblStyle w:val="16"/>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8"/>
        <w:gridCol w:w="814"/>
        <w:gridCol w:w="832"/>
        <w:gridCol w:w="914"/>
        <w:gridCol w:w="1213"/>
        <w:gridCol w:w="1807"/>
        <w:gridCol w:w="1080"/>
        <w:gridCol w:w="8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4"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县（市、区）</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调查区编号</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调查单元数量</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调查单元总面积</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低效用地总面积</w:t>
            </w:r>
          </w:p>
        </w:tc>
        <w:tc>
          <w:tcPr>
            <w:tcW w:w="1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认定条件</w:t>
            </w:r>
          </w:p>
        </w:tc>
        <w:tc>
          <w:tcPr>
            <w:tcW w:w="108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基础设施配套情况</w:t>
            </w:r>
          </w:p>
        </w:tc>
        <w:tc>
          <w:tcPr>
            <w:tcW w:w="83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房屋建筑质量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LYRY-1</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1.01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1.01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LYRY-2</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0.99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0.99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LYRY-3</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LYRY-4</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1.03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1.03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MSJY-1</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0.82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0.82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MSJY-2</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0.79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0.79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SZF-1</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1.39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1.39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TYGB-1</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3.51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3.51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TYGB-2</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1.63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1.63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TYGB-3</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0.13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0.13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TYGB-4</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0.05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0.05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ZYCJ-1</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4.50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4.50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ZYCJ-2</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1.78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1.78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ZYCJ-4</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0.46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0.46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计划棚改</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484"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9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19.18 </w:t>
            </w:r>
          </w:p>
        </w:tc>
        <w:tc>
          <w:tcPr>
            <w:tcW w:w="121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19.18 </w:t>
            </w:r>
          </w:p>
        </w:tc>
        <w:tc>
          <w:tcPr>
            <w:tcW w:w="18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pPr>
        <w:rPr>
          <w:rFonts w:hint="eastAsia"/>
          <w:lang w:eastAsia="zh-CN"/>
        </w:rPr>
      </w:pPr>
      <w:r>
        <w:rPr>
          <w:rFonts w:hint="eastAsia"/>
          <w:lang w:eastAsia="zh-CN"/>
        </w:rPr>
        <w:t>部分列入棚改的图斑和表</w:t>
      </w:r>
      <w:r>
        <w:rPr>
          <w:rFonts w:hint="eastAsia"/>
          <w:lang w:val="en-US" w:eastAsia="zh-CN"/>
        </w:rPr>
        <w:t>4.1有重叠，列入棚改的地块共计14个，低效用地面积19.18公顷，房屋建筑以砖混为主，间杂土木结构，离商业中心较近，有较大的再开发潜力。</w:t>
      </w:r>
    </w:p>
    <w:p>
      <w:pPr>
        <w:rPr>
          <w:rFonts w:hint="eastAsia"/>
          <w:lang w:eastAsia="zh-CN"/>
        </w:rPr>
      </w:pPr>
      <w:r>
        <w:rPr>
          <w:rFonts w:hint="eastAsia"/>
          <w:lang w:eastAsia="zh-CN"/>
        </w:rPr>
        <w:t>综上，确定合作市规划期内低效用地再开发理论潜力</w:t>
      </w:r>
      <w:r>
        <w:rPr>
          <w:rFonts w:hint="eastAsia"/>
          <w:lang w:val="en-US" w:eastAsia="zh-CN"/>
        </w:rPr>
        <w:t>51.67公顷：</w:t>
      </w:r>
    </w:p>
    <w:p>
      <w:pPr>
        <w:ind w:firstLine="560"/>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4.3 </w:t>
      </w:r>
      <w:r>
        <w:rPr>
          <w:rFonts w:hint="eastAsia"/>
          <w:b/>
          <w:bCs/>
          <w:highlight w:val="none"/>
        </w:rPr>
        <w:t>城镇低效用地再开发潜力汇总表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单位：公顷、个</w:t>
      </w:r>
    </w:p>
    <w:tbl>
      <w:tblPr>
        <w:tblStyle w:val="16"/>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64"/>
        <w:gridCol w:w="661"/>
        <w:gridCol w:w="900"/>
        <w:gridCol w:w="805"/>
        <w:gridCol w:w="695"/>
        <w:gridCol w:w="614"/>
        <w:gridCol w:w="572"/>
        <w:gridCol w:w="996"/>
        <w:gridCol w:w="1136"/>
        <w:gridCol w:w="674"/>
        <w:gridCol w:w="6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55" w:hRule="atLeast"/>
          <w:tblHead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县（市、区）</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调查区编号</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调查单元数量</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行政区（乡、街道办）</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低效用地类型</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调查单元总面积</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低效用地总面积</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现状用途</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规划用途</w:t>
            </w:r>
          </w:p>
        </w:tc>
        <w:tc>
          <w:tcPr>
            <w:tcW w:w="67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基础设施配套情况</w:t>
            </w:r>
          </w:p>
        </w:tc>
        <w:tc>
          <w:tcPr>
            <w:tcW w:w="61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房屋建筑质量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CBXQ</w:t>
            </w: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CBXQ-1</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3.64</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3.64</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CBXQ-2</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4.13</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4.13</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CNPCSD</w:t>
            </w: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CNPCSD-1</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5.81</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5.81</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FG</w:t>
            </w: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FG-1</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4.84</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4.84</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FG-2</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4.97</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4.97</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w:t>
            </w: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LYRY-1</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2.05</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2.05</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LYRY-2</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0.99</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0.99</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LYRY-3</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1.08</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LYRY-4</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旧工矿</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w:t>
            </w: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MSJY-1</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0.82</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0.82</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MSJY-2</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0.79</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0.79</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w:t>
            </w: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SZF-1</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1.39</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1.39</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SZF-2</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3.14</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3.14</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SZF-3</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0.67</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0.67</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SZF-4</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SZF-5</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1.98</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1.98</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w:t>
            </w: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TYGB-1</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3.51</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3.51</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TYGB-2</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1.63</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1.63</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TYGB-3</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旧工矿</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0.13</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0.13</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TYGB-4</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旧工矿</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0.05</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0.05</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ZQXJ</w:t>
            </w: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ZQXJ-1</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0.83</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0.83</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公共管理与服务用地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w:t>
            </w: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ZYCJ-1</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4.96</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4.96</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ZYCJ-2</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1.78</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1.78</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ZYCJ-3</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0.58</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0.58</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ZYCJ-4</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旧工矿</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225"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8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51.67</w:t>
            </w:r>
          </w:p>
        </w:tc>
        <w:tc>
          <w:tcPr>
            <w:tcW w:w="57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51.67</w:t>
            </w:r>
          </w:p>
        </w:tc>
        <w:tc>
          <w:tcPr>
            <w:tcW w:w="99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1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7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pPr>
        <w:pStyle w:val="4"/>
        <w:rPr>
          <w:rFonts w:hint="eastAsia"/>
          <w:lang w:eastAsia="zh-CN"/>
        </w:rPr>
      </w:pPr>
      <w:r>
        <w:rPr>
          <w:rFonts w:hint="eastAsia"/>
          <w:lang w:val="en-US" w:eastAsia="zh-CN"/>
        </w:rPr>
        <w:t>2、</w:t>
      </w:r>
      <w:r>
        <w:rPr>
          <w:rFonts w:hint="eastAsia"/>
          <w:lang w:eastAsia="zh-CN"/>
        </w:rPr>
        <w:t>现实潜力</w:t>
      </w:r>
    </w:p>
    <w:p>
      <w:pPr>
        <w:rPr>
          <w:rFonts w:hint="eastAsia"/>
          <w:lang w:eastAsia="zh-CN"/>
        </w:rPr>
      </w:pPr>
      <w:r>
        <w:rPr>
          <w:rFonts w:hint="eastAsia"/>
          <w:lang w:eastAsia="zh-CN"/>
        </w:rPr>
        <w:t>在理论潜力的基础上，以棚改计划的地块为主，结合实地调研，充分听取各方利益主体意愿，确定合作市规划期内的现实挖潜图斑，共</w:t>
      </w:r>
      <w:r>
        <w:rPr>
          <w:rFonts w:hint="eastAsia"/>
          <w:lang w:val="en-US" w:eastAsia="zh-CN"/>
        </w:rPr>
        <w:t>16个图斑，22.90公顷。</w:t>
      </w:r>
    </w:p>
    <w:p>
      <w:pPr>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4.4 </w:t>
      </w:r>
      <w:r>
        <w:rPr>
          <w:rFonts w:hint="eastAsia"/>
          <w:b/>
          <w:bCs/>
          <w:highlight w:val="none"/>
        </w:rPr>
        <w:t>城镇低效用地</w:t>
      </w:r>
      <w:r>
        <w:rPr>
          <w:rFonts w:hint="eastAsia"/>
          <w:b/>
          <w:bCs/>
          <w:highlight w:val="none"/>
          <w:lang w:eastAsia="zh-CN"/>
        </w:rPr>
        <w:t>再开发可实现潜力</w:t>
      </w:r>
      <w:r>
        <w:rPr>
          <w:rFonts w:hint="eastAsia"/>
          <w:b/>
          <w:bCs/>
          <w:highlight w:val="none"/>
        </w:rPr>
        <w:t>汇总表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单位：公顷</w:t>
      </w:r>
    </w:p>
    <w:tbl>
      <w:tblPr>
        <w:tblStyle w:val="16"/>
        <w:tblW w:w="83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86"/>
        <w:gridCol w:w="780"/>
        <w:gridCol w:w="885"/>
        <w:gridCol w:w="990"/>
        <w:gridCol w:w="945"/>
        <w:gridCol w:w="975"/>
        <w:gridCol w:w="1005"/>
        <w:gridCol w:w="1140"/>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0" w:hRule="atLeast"/>
          <w:tblHeader/>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县（市、区）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调查区编号</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调查单元总面积</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低效用地总面积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基础设施配套情况</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房屋建筑质量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2"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1.0118</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1.0118</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0.58</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0.58</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0.9908</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0.9908</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0.48</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0.48</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1.0794</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1.0794</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0.28</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0.28</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1.0342</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1.0342</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0.27</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0.27</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0.8163</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0.8163</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0.36</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0.36</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0.7894</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0.7894</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0.33</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0.33</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1.3932</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1.3932</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3.1376</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3.1376</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0.39</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0.39</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3.5144</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3.5144</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0.51</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1.6332</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1.6332</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0.54</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0.54</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0.1318</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0.1318</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0.38</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0.38</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0.0498</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0.0498</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0.18</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0.18</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4.5007</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4.5007</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0.42</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0.42</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1.7847</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1.7847</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0.576</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0.576</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0.51</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0.51</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0.4554</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0.4554</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0.32</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0.32</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451"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22.8989</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22.8989</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pPr>
        <w:pStyle w:val="2"/>
        <w:rPr>
          <w:rFonts w:hint="eastAsia"/>
          <w:lang w:eastAsia="zh-CN"/>
        </w:rPr>
      </w:pPr>
      <w:bookmarkStart w:id="15" w:name="_Toc20969"/>
      <w:r>
        <w:rPr>
          <w:rFonts w:hint="eastAsia"/>
          <w:lang w:eastAsia="zh-CN"/>
        </w:rPr>
        <w:t>五、规划目标及任务</w:t>
      </w:r>
      <w:bookmarkEnd w:id="15"/>
    </w:p>
    <w:p>
      <w:pPr>
        <w:pStyle w:val="3"/>
        <w:rPr>
          <w:rFonts w:hint="eastAsia"/>
          <w:lang w:val="en-US" w:eastAsia="zh-CN"/>
        </w:rPr>
      </w:pPr>
      <w:bookmarkStart w:id="16" w:name="_Toc28458"/>
      <w:r>
        <w:rPr>
          <w:rFonts w:hint="eastAsia"/>
          <w:lang w:eastAsia="zh-CN"/>
        </w:rPr>
        <w:t>（一）规划目标</w:t>
      </w:r>
      <w:r>
        <w:rPr>
          <w:rFonts w:hint="eastAsia"/>
          <w:lang w:val="en-US" w:eastAsia="zh-CN"/>
        </w:rPr>
        <w:t xml:space="preserve"> 、任务确定的依据</w:t>
      </w:r>
      <w:bookmarkEnd w:id="16"/>
    </w:p>
    <w:p>
      <w:pPr>
        <w:pStyle w:val="4"/>
        <w:rPr>
          <w:rFonts w:hint="eastAsia"/>
          <w:lang w:val="en-US" w:eastAsia="zh-CN"/>
        </w:rPr>
      </w:pPr>
      <w:r>
        <w:rPr>
          <w:rFonts w:hint="eastAsia"/>
          <w:lang w:val="en-US" w:eastAsia="zh-CN"/>
        </w:rPr>
        <w:t>1、法律法规</w:t>
      </w:r>
    </w:p>
    <w:p>
      <w:pPr>
        <w:rPr>
          <w:rFonts w:hint="eastAsia"/>
          <w:lang w:val="en-US" w:eastAsia="zh-CN"/>
        </w:rPr>
      </w:pPr>
      <w:r>
        <w:rPr>
          <w:rFonts w:hint="eastAsia"/>
          <w:lang w:val="en-US" w:eastAsia="zh-CN"/>
        </w:rPr>
        <w:t>（1）《中华人民共和国土地管理法》；</w:t>
      </w:r>
    </w:p>
    <w:p>
      <w:pPr>
        <w:rPr>
          <w:rFonts w:hint="eastAsia"/>
          <w:lang w:val="en-US" w:eastAsia="zh-CN"/>
        </w:rPr>
      </w:pPr>
      <w:r>
        <w:rPr>
          <w:rFonts w:hint="eastAsia"/>
          <w:lang w:val="en-US" w:eastAsia="zh-CN"/>
        </w:rPr>
        <w:t>（2）《中华人民共和国城乡规划法》；</w:t>
      </w:r>
    </w:p>
    <w:p>
      <w:pPr>
        <w:rPr>
          <w:rFonts w:hint="eastAsia"/>
          <w:lang w:val="en-US" w:eastAsia="zh-CN"/>
        </w:rPr>
      </w:pPr>
      <w:r>
        <w:rPr>
          <w:rFonts w:hint="eastAsia"/>
          <w:lang w:val="en-US" w:eastAsia="zh-CN"/>
        </w:rPr>
        <w:t>（3）《中华人民共和国环境保护法》；</w:t>
      </w:r>
    </w:p>
    <w:p>
      <w:pPr>
        <w:rPr>
          <w:rFonts w:hint="eastAsia"/>
          <w:lang w:val="en-US" w:eastAsia="zh-CN"/>
        </w:rPr>
      </w:pPr>
      <w:r>
        <w:rPr>
          <w:rFonts w:hint="eastAsia"/>
          <w:lang w:val="en-US" w:eastAsia="zh-CN"/>
        </w:rPr>
        <w:t>（4）《中华人民共和国土地管理法实施条例》；</w:t>
      </w:r>
    </w:p>
    <w:p>
      <w:pPr>
        <w:rPr>
          <w:rFonts w:hint="eastAsia"/>
          <w:lang w:val="en-US" w:eastAsia="zh-CN"/>
        </w:rPr>
      </w:pPr>
      <w:r>
        <w:rPr>
          <w:rFonts w:hint="eastAsia"/>
          <w:lang w:val="en-US" w:eastAsia="zh-CN"/>
        </w:rPr>
        <w:t>（5）《基本农田保护条例》；</w:t>
      </w:r>
    </w:p>
    <w:p>
      <w:pPr>
        <w:rPr>
          <w:rFonts w:hint="eastAsia"/>
          <w:lang w:val="en-US" w:eastAsia="zh-CN"/>
        </w:rPr>
      </w:pPr>
      <w:r>
        <w:rPr>
          <w:rFonts w:hint="eastAsia"/>
          <w:lang w:val="en-US" w:eastAsia="zh-CN"/>
        </w:rPr>
        <w:t>（6）《土地复垦条例》。</w:t>
      </w:r>
    </w:p>
    <w:p>
      <w:pPr>
        <w:pStyle w:val="4"/>
        <w:rPr>
          <w:rFonts w:hint="eastAsia"/>
          <w:lang w:val="en-US" w:eastAsia="zh-CN"/>
        </w:rPr>
      </w:pPr>
      <w:r>
        <w:rPr>
          <w:rFonts w:hint="eastAsia"/>
          <w:lang w:val="en-US" w:eastAsia="zh-CN"/>
        </w:rPr>
        <w:t>2、部门规章及规范性文件</w:t>
      </w:r>
    </w:p>
    <w:p>
      <w:pPr>
        <w:ind w:firstLine="560"/>
        <w:rPr>
          <w:rFonts w:hint="eastAsia"/>
        </w:rPr>
      </w:pPr>
      <w:r>
        <w:rPr>
          <w:rFonts w:hint="eastAsia"/>
        </w:rPr>
        <w:t>（1）《土地利用总体规划管理办法》（国土资源部部令72号）；</w:t>
      </w:r>
    </w:p>
    <w:p>
      <w:pPr>
        <w:ind w:firstLine="560"/>
        <w:rPr>
          <w:rFonts w:hint="eastAsia"/>
        </w:rPr>
      </w:pPr>
      <w:r>
        <w:rPr>
          <w:rFonts w:hint="eastAsia"/>
        </w:rPr>
        <w:t>（2）《关于深入推进城镇低效用地再开发的</w:t>
      </w:r>
      <w:r>
        <w:rPr>
          <w:rFonts w:hint="eastAsia"/>
          <w:lang w:eastAsia="zh-CN"/>
        </w:rPr>
        <w:t>指导</w:t>
      </w:r>
      <w:r>
        <w:rPr>
          <w:rFonts w:hint="eastAsia"/>
        </w:rPr>
        <w:t>意见（试行）》（国土资发[2016]147号）；</w:t>
      </w:r>
    </w:p>
    <w:p>
      <w:pPr>
        <w:ind w:firstLine="560"/>
        <w:rPr>
          <w:rFonts w:hint="eastAsia"/>
        </w:rPr>
      </w:pPr>
      <w:r>
        <w:rPr>
          <w:rFonts w:hint="eastAsia"/>
        </w:rPr>
        <w:t>（3）《节约集约利用土地规定》（国土资源部第61号令）；</w:t>
      </w:r>
    </w:p>
    <w:p>
      <w:pPr>
        <w:ind w:firstLine="560"/>
        <w:rPr>
          <w:rFonts w:hint="eastAsia"/>
          <w:lang w:eastAsia="zh-CN"/>
        </w:rPr>
      </w:pPr>
      <w:r>
        <w:rPr>
          <w:rFonts w:hint="eastAsia"/>
          <w:lang w:eastAsia="zh-CN"/>
        </w:rPr>
        <w:t>（</w:t>
      </w:r>
      <w:r>
        <w:rPr>
          <w:rFonts w:hint="eastAsia"/>
          <w:lang w:val="en-US" w:eastAsia="zh-CN"/>
        </w:rPr>
        <w:t>4</w:t>
      </w:r>
      <w:r>
        <w:rPr>
          <w:rFonts w:hint="eastAsia"/>
          <w:lang w:eastAsia="zh-CN"/>
        </w:rPr>
        <w:t>）《国土资源部办公厅关于印发城镇低效用地再开发规划编制要点的通知》（国土资厅发</w:t>
      </w:r>
      <w:r>
        <w:rPr>
          <w:rFonts w:hint="eastAsia"/>
        </w:rPr>
        <w:t>[201</w:t>
      </w:r>
      <w:r>
        <w:rPr>
          <w:rFonts w:hint="eastAsia"/>
          <w:lang w:val="en-US" w:eastAsia="zh-CN"/>
        </w:rPr>
        <w:t>7</w:t>
      </w:r>
      <w:r>
        <w:rPr>
          <w:rFonts w:hint="eastAsia"/>
        </w:rPr>
        <w:t>]47号</w:t>
      </w:r>
      <w:r>
        <w:rPr>
          <w:rFonts w:hint="eastAsia"/>
          <w:lang w:eastAsia="zh-CN"/>
        </w:rPr>
        <w:t>）</w:t>
      </w:r>
      <w:r>
        <w:rPr>
          <w:rFonts w:hint="eastAsia"/>
        </w:rPr>
        <w:t>；</w:t>
      </w:r>
    </w:p>
    <w:p>
      <w:pPr>
        <w:ind w:firstLine="560"/>
        <w:rPr>
          <w:rFonts w:hint="eastAsia"/>
          <w:lang w:eastAsia="zh-CN"/>
        </w:rPr>
      </w:pPr>
      <w:r>
        <w:rPr>
          <w:rFonts w:hint="eastAsia"/>
          <w:lang w:eastAsia="zh-CN"/>
        </w:rPr>
        <w:t>（</w:t>
      </w:r>
      <w:r>
        <w:rPr>
          <w:rFonts w:hint="eastAsia"/>
          <w:lang w:val="en-US" w:eastAsia="zh-CN"/>
        </w:rPr>
        <w:t>5</w:t>
      </w:r>
      <w:r>
        <w:rPr>
          <w:rFonts w:hint="eastAsia"/>
          <w:lang w:eastAsia="zh-CN"/>
        </w:rPr>
        <w:t>）《甘肃省国土厅关于开展城镇低效用地再开发调查摸底工作的通知（甘国土资利发[2017]37号）》</w:t>
      </w:r>
      <w:r>
        <w:rPr>
          <w:rFonts w:hint="eastAsia"/>
        </w:rPr>
        <w:t>；</w:t>
      </w:r>
    </w:p>
    <w:p>
      <w:pPr>
        <w:rPr>
          <w:rFonts w:hint="eastAsia"/>
          <w:lang w:val="en-US" w:eastAsia="zh-CN"/>
        </w:rPr>
      </w:pPr>
      <w:r>
        <w:rPr>
          <w:rFonts w:hint="eastAsia"/>
          <w:lang w:eastAsia="zh-CN"/>
        </w:rPr>
        <w:t>（</w:t>
      </w:r>
      <w:r>
        <w:rPr>
          <w:rFonts w:hint="eastAsia"/>
          <w:lang w:val="en-US" w:eastAsia="zh-CN"/>
        </w:rPr>
        <w:t>6</w:t>
      </w:r>
      <w:r>
        <w:rPr>
          <w:rFonts w:hint="eastAsia"/>
          <w:lang w:eastAsia="zh-CN"/>
        </w:rPr>
        <w:t>）《甘南州国土局转发《关于深入推进城镇低效用地再开发的指导意见（试行）》的通知（州国土资耕发[2018]282号）》。</w:t>
      </w:r>
    </w:p>
    <w:p>
      <w:pPr>
        <w:pStyle w:val="4"/>
        <w:rPr>
          <w:rFonts w:hint="eastAsia"/>
          <w:lang w:val="en-US" w:eastAsia="zh-CN"/>
        </w:rPr>
      </w:pPr>
      <w:r>
        <w:rPr>
          <w:rFonts w:hint="eastAsia"/>
          <w:lang w:val="en-US" w:eastAsia="zh-CN"/>
        </w:rPr>
        <w:t>3、相关基础资料</w:t>
      </w:r>
    </w:p>
    <w:p>
      <w:pPr>
        <w:ind w:firstLine="560"/>
        <w:rPr>
          <w:rFonts w:hint="eastAsia"/>
          <w:highlight w:val="none"/>
          <w:lang w:eastAsia="zh-CN"/>
        </w:rPr>
      </w:pPr>
      <w:r>
        <w:rPr>
          <w:rFonts w:hint="eastAsia"/>
          <w:highlight w:val="none"/>
        </w:rPr>
        <w:t>（1）</w:t>
      </w:r>
      <w:r>
        <w:rPr>
          <w:rFonts w:hint="eastAsia"/>
          <w:highlight w:val="none"/>
          <w:lang w:eastAsia="zh-CN"/>
        </w:rPr>
        <w:t>《合作市土地利用总体规划（</w:t>
      </w:r>
      <w:r>
        <w:rPr>
          <w:rFonts w:hint="eastAsia"/>
          <w:highlight w:val="none"/>
          <w:lang w:val="en-US" w:eastAsia="zh-CN"/>
        </w:rPr>
        <w:t>2006-2016</w:t>
      </w:r>
      <w:r>
        <w:rPr>
          <w:rFonts w:hint="eastAsia"/>
          <w:highlight w:val="none"/>
          <w:lang w:eastAsia="zh-CN"/>
        </w:rPr>
        <w:t>）》</w:t>
      </w:r>
      <w:r>
        <w:rPr>
          <w:rFonts w:hint="eastAsia"/>
        </w:rPr>
        <w:t>；</w:t>
      </w:r>
    </w:p>
    <w:p>
      <w:pPr>
        <w:ind w:firstLine="560"/>
        <w:rPr>
          <w:rFonts w:hint="eastAsia"/>
          <w:highlight w:val="none"/>
          <w:lang w:eastAsia="zh-CN"/>
        </w:rPr>
      </w:pPr>
      <w:r>
        <w:rPr>
          <w:rFonts w:hint="eastAsia"/>
          <w:highlight w:val="none"/>
        </w:rPr>
        <w:t>（2）</w:t>
      </w:r>
      <w:r>
        <w:rPr>
          <w:rFonts w:hint="eastAsia"/>
          <w:highlight w:val="none"/>
          <w:lang w:eastAsia="zh-CN"/>
        </w:rPr>
        <w:t>《合作市城市总体规划（2010—2030年）》；</w:t>
      </w:r>
    </w:p>
    <w:p>
      <w:pPr>
        <w:ind w:firstLine="560"/>
        <w:rPr>
          <w:rFonts w:hint="eastAsia"/>
          <w:highlight w:val="none"/>
          <w:lang w:eastAsia="zh-CN"/>
        </w:rPr>
      </w:pPr>
      <w:r>
        <w:rPr>
          <w:rFonts w:hint="eastAsia"/>
          <w:highlight w:val="none"/>
        </w:rPr>
        <w:t>（3）</w:t>
      </w:r>
      <w:r>
        <w:rPr>
          <w:rFonts w:hint="eastAsia"/>
          <w:highlight w:val="none"/>
          <w:lang w:eastAsia="zh-CN"/>
        </w:rPr>
        <w:t>《合作市中心城区控制性详细规划》</w:t>
      </w:r>
      <w:r>
        <w:rPr>
          <w:rFonts w:hint="eastAsia"/>
        </w:rPr>
        <w:t>；</w:t>
      </w:r>
    </w:p>
    <w:p>
      <w:pPr>
        <w:ind w:firstLine="560"/>
        <w:rPr>
          <w:rFonts w:hint="eastAsia"/>
        </w:rPr>
      </w:pPr>
      <w:r>
        <w:rPr>
          <w:rFonts w:hint="eastAsia"/>
          <w:highlight w:val="none"/>
          <w:lang w:eastAsia="zh-CN"/>
        </w:rPr>
        <w:t>（</w:t>
      </w:r>
      <w:r>
        <w:rPr>
          <w:rFonts w:hint="eastAsia"/>
          <w:highlight w:val="none"/>
          <w:lang w:val="en-US" w:eastAsia="zh-CN"/>
        </w:rPr>
        <w:t>4</w:t>
      </w:r>
      <w:r>
        <w:rPr>
          <w:rFonts w:hint="eastAsia"/>
          <w:highlight w:val="none"/>
          <w:lang w:eastAsia="zh-CN"/>
        </w:rPr>
        <w:t>）《合作市2017年度土地变更调查成果》</w:t>
      </w:r>
      <w:r>
        <w:rPr>
          <w:rFonts w:hint="eastAsia"/>
        </w:rPr>
        <w:t>；</w:t>
      </w:r>
    </w:p>
    <w:p>
      <w:pPr>
        <w:ind w:firstLine="560"/>
        <w:rPr>
          <w:rFonts w:hint="eastAsia"/>
          <w:lang w:val="en-US" w:eastAsia="zh-CN"/>
        </w:rPr>
      </w:pPr>
      <w:r>
        <w:rPr>
          <w:rFonts w:hint="eastAsia"/>
          <w:lang w:eastAsia="zh-CN"/>
        </w:rPr>
        <w:t>（</w:t>
      </w:r>
      <w:r>
        <w:rPr>
          <w:rFonts w:hint="eastAsia"/>
          <w:lang w:val="en-US" w:eastAsia="zh-CN"/>
        </w:rPr>
        <w:t>5</w:t>
      </w:r>
      <w:r>
        <w:rPr>
          <w:rFonts w:hint="eastAsia"/>
          <w:lang w:eastAsia="zh-CN"/>
        </w:rPr>
        <w:t>）合作市</w:t>
      </w:r>
      <w:r>
        <w:rPr>
          <w:rFonts w:hint="eastAsia"/>
          <w:lang w:val="en-US" w:eastAsia="zh-CN"/>
        </w:rPr>
        <w:t>2017年土地供应数据；</w:t>
      </w:r>
    </w:p>
    <w:p>
      <w:pPr>
        <w:ind w:firstLine="560"/>
        <w:rPr>
          <w:rFonts w:hint="eastAsia"/>
          <w:lang w:val="en-US" w:eastAsia="zh-CN"/>
        </w:rPr>
      </w:pPr>
      <w:r>
        <w:rPr>
          <w:rFonts w:hint="eastAsia"/>
          <w:lang w:val="en-US" w:eastAsia="zh-CN"/>
        </w:rPr>
        <w:t>（6）《合作市2017年统计年鉴》；</w:t>
      </w:r>
    </w:p>
    <w:p>
      <w:pPr>
        <w:rPr>
          <w:rFonts w:hint="eastAsia"/>
          <w:lang w:eastAsia="zh-CN"/>
        </w:rPr>
      </w:pPr>
      <w:r>
        <w:rPr>
          <w:rFonts w:hint="eastAsia"/>
          <w:highlight w:val="none"/>
        </w:rPr>
        <w:t>（</w:t>
      </w:r>
      <w:r>
        <w:rPr>
          <w:rFonts w:hint="eastAsia"/>
          <w:highlight w:val="none"/>
          <w:lang w:val="en-US" w:eastAsia="zh-CN"/>
        </w:rPr>
        <w:t>7</w:t>
      </w:r>
      <w:r>
        <w:rPr>
          <w:rFonts w:hint="eastAsia"/>
          <w:highlight w:val="none"/>
        </w:rPr>
        <w:t>）</w:t>
      </w:r>
      <w:r>
        <w:rPr>
          <w:rFonts w:hint="eastAsia"/>
          <w:highlight w:val="none"/>
          <w:lang w:eastAsia="zh-CN"/>
        </w:rPr>
        <w:t>其他相关基础资料。</w:t>
      </w:r>
    </w:p>
    <w:p>
      <w:pPr>
        <w:pStyle w:val="3"/>
        <w:rPr>
          <w:rFonts w:hint="eastAsia"/>
          <w:lang w:eastAsia="zh-CN"/>
        </w:rPr>
      </w:pPr>
      <w:bookmarkStart w:id="17" w:name="_Toc6935"/>
      <w:r>
        <w:rPr>
          <w:rFonts w:hint="eastAsia"/>
          <w:lang w:eastAsia="zh-CN"/>
        </w:rPr>
        <w:t>（二）规划任务及目标</w:t>
      </w:r>
      <w:bookmarkEnd w:id="17"/>
    </w:p>
    <w:p>
      <w:pPr>
        <w:pStyle w:val="4"/>
        <w:rPr>
          <w:rFonts w:hint="eastAsia"/>
          <w:lang w:val="en-US" w:eastAsia="zh-CN"/>
        </w:rPr>
      </w:pPr>
      <w:r>
        <w:rPr>
          <w:rFonts w:hint="eastAsia"/>
          <w:lang w:val="en-US" w:eastAsia="zh-CN"/>
        </w:rPr>
        <w:t>1、主要任务</w:t>
      </w:r>
    </w:p>
    <w:p>
      <w:pPr>
        <w:rPr>
          <w:rFonts w:hint="eastAsia"/>
          <w:lang w:eastAsia="zh-CN"/>
        </w:rPr>
      </w:pPr>
      <w:r>
        <w:rPr>
          <w:rFonts w:hint="eastAsia"/>
          <w:lang w:eastAsia="zh-CN"/>
        </w:rPr>
        <w:t>规划编制以人为本，主要任务是城镇低效用地再开发规范推进，土地集约利用水平明显提高，城镇建设用地有效供给得到增强；城镇用地结构明显优化，产业转型升级逐渐加快，投资消费有效增长；城镇基础设施和公共服务设施明显改善，城镇化质量显著提高，经济社会可持续发展能力不断提升。</w:t>
      </w:r>
    </w:p>
    <w:p>
      <w:pPr>
        <w:pStyle w:val="4"/>
        <w:rPr>
          <w:rFonts w:hint="eastAsia"/>
          <w:lang w:val="en-US" w:eastAsia="zh-CN"/>
        </w:rPr>
      </w:pPr>
      <w:r>
        <w:rPr>
          <w:rFonts w:hint="eastAsia"/>
          <w:lang w:val="en-US" w:eastAsia="zh-CN"/>
        </w:rPr>
        <w:t>2、定量目标</w:t>
      </w:r>
    </w:p>
    <w:p>
      <w:pPr>
        <w:rPr>
          <w:rFonts w:hint="eastAsia"/>
          <w:lang w:val="en-US" w:eastAsia="zh-CN"/>
        </w:rPr>
      </w:pPr>
      <w:r>
        <w:rPr>
          <w:rFonts w:hint="eastAsia"/>
          <w:lang w:eastAsia="zh-CN"/>
        </w:rPr>
        <w:t>本次规划期内城镇低效用地再开发总规模</w:t>
      </w:r>
      <w:r>
        <w:rPr>
          <w:rFonts w:hint="eastAsia"/>
          <w:lang w:val="en-US" w:eastAsia="zh-CN"/>
        </w:rPr>
        <w:t>22.90公顷，其中2018年3个图斑3.83公顷，2019年4个图斑6.34公顷，2020年4个图斑5.33公顷，2021年2个图斑4.96公顷，2022年3个图斑2.45公顷。</w:t>
      </w:r>
    </w:p>
    <w:p>
      <w:pPr>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5.1 </w:t>
      </w:r>
      <w:r>
        <w:rPr>
          <w:rFonts w:hint="eastAsia"/>
          <w:b/>
          <w:bCs/>
          <w:highlight w:val="none"/>
        </w:rPr>
        <w:t>城镇低效用地</w:t>
      </w:r>
      <w:r>
        <w:rPr>
          <w:rFonts w:hint="eastAsia"/>
          <w:b/>
          <w:bCs/>
          <w:highlight w:val="none"/>
          <w:lang w:eastAsia="zh-CN"/>
        </w:rPr>
        <w:t>再开发规划利用强度</w:t>
      </w:r>
      <w:r>
        <w:rPr>
          <w:rFonts w:hint="eastAsia"/>
          <w:b/>
          <w:bCs/>
          <w:highlight w:val="none"/>
        </w:rPr>
        <w:t>汇总表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单位：公顷</w:t>
      </w:r>
    </w:p>
    <w:tbl>
      <w:tblPr>
        <w:tblStyle w:val="16"/>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06"/>
        <w:gridCol w:w="1089"/>
        <w:gridCol w:w="1873"/>
        <w:gridCol w:w="2194"/>
        <w:gridCol w:w="966"/>
        <w:gridCol w:w="9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blHeader/>
        </w:trPr>
        <w:tc>
          <w:tcPr>
            <w:tcW w:w="130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地块编号</w:t>
            </w:r>
          </w:p>
        </w:tc>
        <w:tc>
          <w:tcPr>
            <w:tcW w:w="1089" w:type="dxa"/>
            <w:tcBorders>
              <w:top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所在县（市、区）</w:t>
            </w:r>
          </w:p>
        </w:tc>
        <w:tc>
          <w:tcPr>
            <w:tcW w:w="1873" w:type="dxa"/>
            <w:tcBorders>
              <w:top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所在建制镇或街道</w:t>
            </w:r>
          </w:p>
        </w:tc>
        <w:tc>
          <w:tcPr>
            <w:tcW w:w="2194" w:type="dxa"/>
            <w:tcBorders>
              <w:top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利用方向</w:t>
            </w:r>
          </w:p>
        </w:tc>
        <w:tc>
          <w:tcPr>
            <w:tcW w:w="966" w:type="dxa"/>
            <w:tcBorders>
              <w:top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908" w:type="dxa"/>
            <w:tcBorders>
              <w:top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时序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9"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MSJY-1</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0.82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2018年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9"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ZYCJ-2</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1.78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7"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LYRY-1</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1.01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LYRY-2</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0.99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2018年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LYRY-3</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1.08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5"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LYRY-4</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1.03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4"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SZF-1</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1.39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TYGB-1</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3.51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TYGB-2</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1.63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0"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TYGB-3</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0.13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4"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TYGB-4</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0.05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7"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MSJY-2</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0.79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6"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ZYCJ-1</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4.50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3"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ZYCJ-4</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0.46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2018年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SZF-2</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3.14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ZYCJ-3</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0.58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0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1089"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873"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2194"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66"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22.90 </w:t>
            </w:r>
          </w:p>
        </w:tc>
        <w:tc>
          <w:tcPr>
            <w:tcW w:w="908"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pPr>
        <w:pStyle w:val="2"/>
        <w:rPr>
          <w:rFonts w:hint="eastAsia"/>
          <w:lang w:eastAsia="zh-CN"/>
        </w:rPr>
      </w:pPr>
      <w:bookmarkStart w:id="18" w:name="_Toc5487"/>
      <w:r>
        <w:rPr>
          <w:rFonts w:hint="eastAsia"/>
          <w:lang w:eastAsia="zh-CN"/>
        </w:rPr>
        <w:t>六、项目确定原则、依据及方法</w:t>
      </w:r>
      <w:bookmarkEnd w:id="18"/>
    </w:p>
    <w:p>
      <w:pPr>
        <w:pStyle w:val="3"/>
        <w:rPr>
          <w:rFonts w:hint="eastAsia"/>
          <w:lang w:eastAsia="zh-CN"/>
        </w:rPr>
      </w:pPr>
      <w:bookmarkStart w:id="19" w:name="_Toc20605"/>
      <w:r>
        <w:rPr>
          <w:rFonts w:hint="eastAsia"/>
          <w:lang w:eastAsia="zh-CN"/>
        </w:rPr>
        <w:t>（一）项目确定原则</w:t>
      </w:r>
      <w:bookmarkEnd w:id="19"/>
    </w:p>
    <w:p>
      <w:pPr>
        <w:pStyle w:val="4"/>
        <w:rPr>
          <w:rFonts w:hint="eastAsia"/>
          <w:lang w:val="en-US" w:eastAsia="zh-CN"/>
        </w:rPr>
      </w:pPr>
      <w:r>
        <w:rPr>
          <w:rFonts w:hint="eastAsia"/>
          <w:lang w:val="en-US" w:eastAsia="zh-CN"/>
        </w:rPr>
        <w:t>1、坚持政府引导、规划先行</w:t>
      </w:r>
    </w:p>
    <w:p>
      <w:pPr>
        <w:rPr>
          <w:rFonts w:hint="eastAsia"/>
          <w:lang w:val="en-US" w:eastAsia="zh-CN"/>
        </w:rPr>
      </w:pPr>
      <w:r>
        <w:rPr>
          <w:rFonts w:hint="eastAsia"/>
          <w:lang w:val="en-US" w:eastAsia="zh-CN"/>
        </w:rPr>
        <w:t>建立健全政府引导、部门协同、公众参与的工作机制，加强统筹协调，形成工作合力；坚持规划先行，对改造开发的规模、时序等进行统筹安排，确保改造开发工作稳步有序开展。</w:t>
      </w:r>
    </w:p>
    <w:p>
      <w:pPr>
        <w:pStyle w:val="4"/>
        <w:rPr>
          <w:rFonts w:hint="eastAsia"/>
          <w:lang w:eastAsia="zh-CN"/>
        </w:rPr>
      </w:pPr>
      <w:r>
        <w:rPr>
          <w:rFonts w:hint="eastAsia"/>
          <w:lang w:val="en-US" w:eastAsia="zh-CN"/>
        </w:rPr>
        <w:t>2、</w:t>
      </w:r>
      <w:r>
        <w:rPr>
          <w:rFonts w:hint="eastAsia"/>
          <w:lang w:eastAsia="zh-CN"/>
        </w:rPr>
        <w:t>坚持市场取向、因势利导</w:t>
      </w:r>
    </w:p>
    <w:p>
      <w:pPr>
        <w:rPr>
          <w:rFonts w:hint="eastAsia"/>
          <w:lang w:eastAsia="zh-CN"/>
        </w:rPr>
      </w:pPr>
      <w:r>
        <w:rPr>
          <w:rFonts w:hint="eastAsia"/>
          <w:lang w:eastAsia="zh-CN"/>
        </w:rPr>
        <w:t>按照市场在资源配置中起决定性作用的要求，鼓励土地权利人、集体经济组织等市场主体和社会力量参与改造开发，形成形式多样的改造开发模式，增强改造开发的动力。</w:t>
      </w:r>
    </w:p>
    <w:p>
      <w:pPr>
        <w:pStyle w:val="4"/>
        <w:rPr>
          <w:rFonts w:hint="eastAsia"/>
          <w:lang w:eastAsia="zh-CN"/>
        </w:rPr>
      </w:pPr>
      <w:r>
        <w:rPr>
          <w:rFonts w:hint="eastAsia"/>
          <w:lang w:val="en-US" w:eastAsia="zh-CN"/>
        </w:rPr>
        <w:t>3、</w:t>
      </w:r>
      <w:r>
        <w:rPr>
          <w:rFonts w:hint="eastAsia"/>
          <w:lang w:eastAsia="zh-CN"/>
        </w:rPr>
        <w:t>坚持因地制宜、规范运作</w:t>
      </w:r>
    </w:p>
    <w:p>
      <w:pPr>
        <w:rPr>
          <w:rFonts w:hint="eastAsia"/>
          <w:lang w:eastAsia="zh-CN"/>
        </w:rPr>
      </w:pPr>
      <w:r>
        <w:rPr>
          <w:rFonts w:hint="eastAsia"/>
          <w:lang w:eastAsia="zh-CN"/>
        </w:rPr>
        <w:t>充分考虑当地经济社会发展水平、发展定位等，依据城市总体发展布局，合理确定改造开发的方向和目标，分类实施；严格遵循改造开发要求和程序，切实加强监管，保证改造开发工作规范运作、有序推进。</w:t>
      </w:r>
    </w:p>
    <w:p>
      <w:pPr>
        <w:pStyle w:val="3"/>
        <w:rPr>
          <w:rFonts w:hint="eastAsia"/>
          <w:lang w:eastAsia="zh-CN"/>
        </w:rPr>
      </w:pPr>
      <w:bookmarkStart w:id="20" w:name="_Toc29637"/>
      <w:r>
        <w:rPr>
          <w:rFonts w:hint="eastAsia"/>
          <w:lang w:eastAsia="zh-CN"/>
        </w:rPr>
        <w:t>（二）项目确定依据</w:t>
      </w:r>
      <w:bookmarkEnd w:id="20"/>
    </w:p>
    <w:p>
      <w:pPr>
        <w:pStyle w:val="4"/>
        <w:rPr>
          <w:rFonts w:hint="eastAsia"/>
          <w:lang w:val="en-US" w:eastAsia="zh-CN"/>
        </w:rPr>
      </w:pPr>
      <w:r>
        <w:rPr>
          <w:rFonts w:hint="eastAsia"/>
          <w:lang w:val="en-US" w:eastAsia="zh-CN"/>
        </w:rPr>
        <w:t>1、相关规划</w:t>
      </w:r>
    </w:p>
    <w:p>
      <w:pPr>
        <w:rPr>
          <w:rFonts w:hint="eastAsia"/>
          <w:lang w:eastAsia="zh-CN"/>
        </w:rPr>
      </w:pPr>
      <w:r>
        <w:rPr>
          <w:rFonts w:hint="eastAsia"/>
          <w:lang w:eastAsia="zh-CN"/>
        </w:rPr>
        <w:t>本次规划项目确定以合作市最新棚改计划为主要依据，同时参考调查区控制性详细规划，及土地利用总体规划，以此来确定项目的利用类型、规模、容积率、建筑密度、绿化率等指标。</w:t>
      </w:r>
    </w:p>
    <w:p>
      <w:pPr>
        <w:pStyle w:val="4"/>
        <w:rPr>
          <w:rFonts w:hint="eastAsia"/>
          <w:lang w:val="en-US" w:eastAsia="zh-CN"/>
        </w:rPr>
      </w:pPr>
      <w:r>
        <w:rPr>
          <w:rFonts w:hint="eastAsia"/>
          <w:lang w:val="en-US" w:eastAsia="zh-CN"/>
        </w:rPr>
        <w:t>2、区位因素</w:t>
      </w:r>
    </w:p>
    <w:p>
      <w:pPr>
        <w:rPr>
          <w:rFonts w:hint="eastAsia"/>
          <w:lang w:eastAsia="zh-CN"/>
        </w:rPr>
      </w:pPr>
      <w:r>
        <w:rPr>
          <w:rFonts w:hint="eastAsia"/>
          <w:lang w:eastAsia="zh-CN"/>
        </w:rPr>
        <w:t>再开发地块确定时，综合考虑地块区位因素，周边地块利用类型，及区位繁华程度。辅以区内地块平整度，开发技术难度，房屋建筑情况等要素。</w:t>
      </w:r>
    </w:p>
    <w:p>
      <w:pPr>
        <w:pStyle w:val="4"/>
        <w:rPr>
          <w:rFonts w:hint="eastAsia"/>
          <w:lang w:val="en-US" w:eastAsia="zh-CN"/>
        </w:rPr>
      </w:pPr>
      <w:r>
        <w:rPr>
          <w:rFonts w:hint="eastAsia"/>
          <w:lang w:val="en-US" w:eastAsia="zh-CN"/>
        </w:rPr>
        <w:t>3、群众意愿</w:t>
      </w:r>
    </w:p>
    <w:p>
      <w:pPr>
        <w:rPr>
          <w:rFonts w:hint="eastAsia"/>
          <w:lang w:eastAsia="zh-CN"/>
        </w:rPr>
      </w:pPr>
      <w:r>
        <w:rPr>
          <w:rFonts w:hint="eastAsia"/>
          <w:lang w:eastAsia="zh-CN"/>
        </w:rPr>
        <w:t>本次再开发地块的确定，充分考虑相关权利人的意愿，提高改造开发工作的公开性和透明度，保障土地权利人的知情权、参与权、受益权；建立健全平等协商机制，妥善解决群众利益诉求，做到公平公正，实现和谐开发。</w:t>
      </w:r>
    </w:p>
    <w:p>
      <w:pPr>
        <w:pStyle w:val="3"/>
        <w:rPr>
          <w:rFonts w:hint="eastAsia"/>
          <w:lang w:eastAsia="zh-CN"/>
        </w:rPr>
      </w:pPr>
      <w:bookmarkStart w:id="21" w:name="_Toc21640"/>
      <w:r>
        <w:rPr>
          <w:rFonts w:hint="eastAsia"/>
          <w:lang w:eastAsia="zh-CN"/>
        </w:rPr>
        <w:t>（三）项目确定的方法</w:t>
      </w:r>
      <w:bookmarkEnd w:id="21"/>
    </w:p>
    <w:p>
      <w:pPr>
        <w:rPr>
          <w:rFonts w:hint="eastAsia"/>
          <w:lang w:eastAsia="zh-CN"/>
        </w:rPr>
      </w:pPr>
      <w:r>
        <w:rPr>
          <w:rFonts w:hint="eastAsia"/>
          <w:lang w:val="en-US" w:eastAsia="zh-CN"/>
        </w:rPr>
        <w:t>本次项目确定主要使用三相交定位法。</w:t>
      </w:r>
      <w:r>
        <w:rPr>
          <w:rFonts w:hint="eastAsia"/>
          <w:lang w:eastAsia="zh-CN"/>
        </w:rPr>
        <w:t>三相交定位法即从地块、市场、开发商竞争态势三个层面分析项目确定的的依据。</w:t>
      </w:r>
    </w:p>
    <w:p>
      <w:pPr>
        <w:rPr>
          <w:rFonts w:hint="eastAsia"/>
          <w:lang w:val="en-US" w:eastAsia="zh-CN"/>
        </w:rPr>
      </w:pPr>
      <w:r>
        <w:rPr>
          <w:rFonts w:hint="eastAsia"/>
          <w:lang w:eastAsia="zh-CN"/>
        </w:rPr>
        <w:t>首先</w:t>
      </w:r>
      <w:r>
        <w:rPr>
          <w:rFonts w:hint="eastAsia"/>
          <w:lang w:val="en-US" w:eastAsia="zh-CN"/>
        </w:rPr>
        <w:t>地块层面主要分析地块与城市的关系、地块与区域的关系、地块与地段的关系及地块的特征；其次市场层面处要分析人口结构的特征，区域房地产开发特征，区位需求变化特征；最后意向开发商的竞争态势，主要分析意向开发商的竞争态势。三个层面重叠的部分就是项目确定的依据。</w:t>
      </w:r>
    </w:p>
    <w:p>
      <w:pPr>
        <w:pStyle w:val="2"/>
        <w:rPr>
          <w:rFonts w:hint="eastAsia"/>
          <w:lang w:val="en-US" w:eastAsia="zh-CN"/>
        </w:rPr>
      </w:pPr>
      <w:bookmarkStart w:id="22" w:name="_Toc15003"/>
      <w:r>
        <w:rPr>
          <w:rFonts w:hint="eastAsia"/>
          <w:lang w:val="en-US" w:eastAsia="zh-CN"/>
        </w:rPr>
        <w:t>七、公众参与情况</w:t>
      </w:r>
      <w:bookmarkEnd w:id="22"/>
    </w:p>
    <w:p>
      <w:pPr>
        <w:rPr>
          <w:rFonts w:hint="eastAsia"/>
          <w:lang w:eastAsia="zh-CN"/>
        </w:rPr>
      </w:pPr>
      <w:r>
        <w:rPr>
          <w:rFonts w:hint="eastAsia"/>
          <w:lang w:eastAsia="zh-CN"/>
        </w:rPr>
        <w:t>本次公众参与主要以街头走访的形式进行，各个潜力区主要调研居民的拆迁意愿，通过调研将居民拆迁意愿强烈的地块纳入本次规划期内的低效用地再开发。以区位控制性详细规划为主要依据，充分尊重实际权利人的切实权益。</w:t>
      </w:r>
    </w:p>
    <w:p>
      <w:pPr>
        <w:pStyle w:val="2"/>
        <w:rPr>
          <w:rFonts w:hint="eastAsia"/>
          <w:lang w:eastAsia="zh-CN"/>
        </w:rPr>
      </w:pPr>
      <w:bookmarkStart w:id="23" w:name="_Toc30401"/>
      <w:r>
        <w:rPr>
          <w:rFonts w:hint="eastAsia"/>
          <w:lang w:eastAsia="zh-CN"/>
        </w:rPr>
        <w:t>八、规划实施可行性分析</w:t>
      </w:r>
      <w:bookmarkEnd w:id="23"/>
    </w:p>
    <w:p>
      <w:pPr>
        <w:pStyle w:val="3"/>
        <w:rPr>
          <w:rFonts w:hint="eastAsia"/>
          <w:lang w:val="en-US" w:eastAsia="zh-CN"/>
        </w:rPr>
      </w:pPr>
      <w:bookmarkStart w:id="24" w:name="_Toc8418"/>
      <w:r>
        <w:rPr>
          <w:rFonts w:hint="eastAsia"/>
          <w:lang w:val="en-US" w:eastAsia="zh-CN"/>
        </w:rPr>
        <w:t>（一）政策可行性</w:t>
      </w:r>
      <w:bookmarkEnd w:id="24"/>
    </w:p>
    <w:p>
      <w:pPr>
        <w:rPr>
          <w:rFonts w:hint="eastAsia"/>
          <w:lang w:eastAsia="zh-CN"/>
        </w:rPr>
      </w:pPr>
      <w:r>
        <w:rPr>
          <w:rFonts w:hint="eastAsia"/>
          <w:lang w:eastAsia="zh-CN"/>
        </w:rPr>
        <w:t>《关于深入推进城镇低效用地再开发的指导意见（试行）》根据《中华人民共和国土地管理法》及有关规定，按照《国家新型城镇化规划（2014～2020年）》等要求，为健全节约集约用地制度，盘活建设用地存量，提高土地利用效率，提出了</w:t>
      </w:r>
      <w:r>
        <w:rPr>
          <w:rFonts w:hint="eastAsia"/>
        </w:rPr>
        <w:t>坚持以人为本，鼓励土地权利人自主改造开发，鼓励社会资本积极进入，规范推进城镇低效用地再开发，促进城镇更新改造和产业转型升级，优化土地利用结构，提升城镇建设用地人口、产业承载能力，建设和谐宜居城镇</w:t>
      </w:r>
      <w:r>
        <w:rPr>
          <w:rFonts w:hint="eastAsia"/>
          <w:lang w:eastAsia="zh-CN"/>
        </w:rPr>
        <w:t>的要求</w:t>
      </w:r>
      <w:r>
        <w:rPr>
          <w:rFonts w:hint="eastAsia"/>
        </w:rPr>
        <w:t>。</w:t>
      </w:r>
    </w:p>
    <w:p>
      <w:pPr>
        <w:pStyle w:val="3"/>
        <w:rPr>
          <w:rFonts w:hint="eastAsia"/>
          <w:lang w:eastAsia="zh-CN"/>
        </w:rPr>
      </w:pPr>
      <w:bookmarkStart w:id="25" w:name="_Toc18866"/>
      <w:r>
        <w:rPr>
          <w:rFonts w:hint="eastAsia"/>
          <w:lang w:eastAsia="zh-CN"/>
        </w:rPr>
        <w:t>（二）规划可行性</w:t>
      </w:r>
      <w:bookmarkEnd w:id="25"/>
    </w:p>
    <w:p>
      <w:pPr>
        <w:rPr>
          <w:rFonts w:hint="eastAsia"/>
          <w:lang w:val="en-US" w:eastAsia="zh-CN"/>
        </w:rPr>
      </w:pPr>
      <w:r>
        <w:rPr>
          <w:rFonts w:hint="eastAsia"/>
          <w:lang w:eastAsia="zh-CN"/>
        </w:rPr>
        <w:t>本次规划期内低效用地再开发地块均在《土地利用总体规划》确定的允许建设区内，同时以《合作市控制性详细规划》为主确定再开发地块</w:t>
      </w:r>
      <w:r>
        <w:rPr>
          <w:rFonts w:hint="eastAsia"/>
          <w:lang w:val="en-US" w:eastAsia="zh-CN"/>
        </w:rPr>
        <w:t>的利用方向及利用强度。因此本次规划在规划上可行。</w:t>
      </w:r>
    </w:p>
    <w:p>
      <w:pPr>
        <w:pStyle w:val="3"/>
        <w:rPr>
          <w:rFonts w:hint="eastAsia"/>
          <w:lang w:val="en-US" w:eastAsia="zh-CN"/>
        </w:rPr>
      </w:pPr>
      <w:bookmarkStart w:id="26" w:name="_Toc20694"/>
      <w:r>
        <w:rPr>
          <w:rFonts w:hint="eastAsia"/>
          <w:lang w:val="en-US" w:eastAsia="zh-CN"/>
        </w:rPr>
        <w:t>（三）建筑环境适宜</w:t>
      </w:r>
      <w:bookmarkEnd w:id="26"/>
    </w:p>
    <w:p>
      <w:pPr>
        <w:rPr>
          <w:rFonts w:hint="eastAsia"/>
          <w:lang w:eastAsia="zh-CN"/>
        </w:rPr>
      </w:pPr>
      <w:r>
        <w:rPr>
          <w:rFonts w:hint="eastAsia"/>
          <w:lang w:eastAsia="zh-CN"/>
        </w:rPr>
        <w:t>各低效用地再开发地块交通条件便利，用地条件良好，项目位置地质条件良好，没有较大的高程差，几乎不存在滑坡等重大地质灾害的影响，征地成本较低，在规划期内可实施性高。</w:t>
      </w:r>
    </w:p>
    <w:p>
      <w:pPr>
        <w:pStyle w:val="3"/>
        <w:rPr>
          <w:rFonts w:hint="eastAsia"/>
          <w:lang w:eastAsia="zh-CN"/>
        </w:rPr>
      </w:pPr>
      <w:bookmarkStart w:id="27" w:name="_Toc4384"/>
      <w:r>
        <w:rPr>
          <w:rFonts w:hint="eastAsia"/>
          <w:lang w:eastAsia="zh-CN"/>
        </w:rPr>
        <w:t>（四）资金来源可靠</w:t>
      </w:r>
      <w:bookmarkEnd w:id="27"/>
    </w:p>
    <w:p>
      <w:pPr>
        <w:rPr>
          <w:rFonts w:hint="eastAsia"/>
          <w:lang w:eastAsia="zh-CN"/>
        </w:rPr>
      </w:pPr>
      <w:r>
        <w:rPr>
          <w:rFonts w:hint="eastAsia"/>
          <w:lang w:eastAsia="zh-CN"/>
        </w:rPr>
        <w:t>本次低效用地再开发项目资金来源主要有三个：1、政府财政资金，涉及公共管理与服务用地开发的以政府财政资金为主；2、棚户区改造补助金，主要用于各棚户区改造项目；3、企业自筹资金，是项目再开发的主要资金来源。同时鼓励各利益相关方，按意愿出资，并承诺根据其出资情况享受相关权益。</w:t>
      </w:r>
      <w:bookmarkEnd w:id="3"/>
    </w:p>
    <w:sectPr>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 w:name="Dotum">
    <w:panose1 w:val="020B0600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roma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firstLine="360"/>
      <w:jc w:val="center"/>
    </w:pPr>
    <w:r>
      <w:pict>
        <v:shape id="_x0000_s4097" o:spid="_x0000_s4097" o:spt="202" type="#_x0000_t202" style="position:absolute;left:0pt;margin-left:194.25pt;margin-top:0.1pt;height:17.15pt;width:72.65pt;mso-position-horizontal-relative:margin;z-index:251658240;mso-width-relative:page;mso-height-relative:page;" filled="f" stroked="f" coordsize="21600,21600">
          <v:path/>
          <v:fill on="f" focussize="0,0"/>
          <v:stroke on="f" joinstyle="miter"/>
          <v:imagedata o:title=""/>
          <o:lock v:ext="edit" aspectratio="f"/>
          <v:textbox inset="0mm,0mm,0mm,0mm">
            <w:txbxContent>
              <w:p>
                <w:pPr>
                  <w:snapToGrid w:val="0"/>
                  <w:ind w:firstLine="360"/>
                  <w:rPr>
                    <w:sz w:val="18"/>
                    <w:lang w:val="en-US"/>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r>
                  <w:rPr>
                    <w:rFonts w:hint="eastAsia"/>
                    <w:sz w:val="18"/>
                    <w:lang w:val="en-US" w:eastAsia="zh-CN"/>
                  </w:rPr>
                  <w:t xml:space="preserve">  </w:t>
                </w:r>
              </w:p>
            </w:txbxContent>
          </v:textbox>
        </v:shape>
      </w:pict>
    </w:r>
    <w:sdt>
      <w:sdtPr>
        <w:id w:val="2581771"/>
      </w:sdtPr>
      <w:sdtContent/>
    </w:sdt>
  </w:p>
  <w:p>
    <w:pPr>
      <w:pStyle w:val="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firstLine="360"/>
      <w:jc w:val="center"/>
    </w:pPr>
    <w:r>
      <w:pict>
        <v:shape id="_x0000_s4098" o:spid="_x0000_s4098" o:spt="202" type="#_x0000_t202" style="position:absolute;left:0pt;margin-top:0.1pt;height:17.15pt;width:72.65pt;mso-position-horizontal:center;mso-position-horizontal-relative:margin;z-index:251659264;mso-width-relative:page;mso-height-relative:page;" filled="f" stroked="f" coordsize="21600,21600">
          <v:path/>
          <v:fill on="f" focussize="0,0"/>
          <v:stroke on="f" joinstyle="miter"/>
          <v:imagedata o:title=""/>
          <o:lock v:ext="edit" aspectratio="f"/>
          <v:textbox inset="0mm,0mm,0mm,0mm">
            <w:txbxContent>
              <w:p>
                <w:pPr>
                  <w:snapToGrid w:val="0"/>
                  <w:ind w:firstLine="360"/>
                  <w:rPr>
                    <w:sz w:val="18"/>
                    <w:lang w:val="en-US"/>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r>
                  <w:rPr>
                    <w:rFonts w:hint="eastAsia"/>
                    <w:sz w:val="18"/>
                    <w:lang w:val="en-US" w:eastAsia="zh-CN"/>
                  </w:rPr>
                  <w:t xml:space="preserve">  </w:t>
                </w:r>
              </w:p>
            </w:txbxContent>
          </v:textbox>
        </v:shape>
      </w:pict>
    </w:r>
    <w:sdt>
      <w:sdtPr>
        <w:id w:val="2581771"/>
      </w:sdtPr>
      <w:sdtContent/>
    </w:sdt>
  </w:p>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documentProtection w:edit="forms" w:enforcement="0"/>
  <w:defaultTabStop w:val="420"/>
  <w:drawingGridHorizontalSpacing w:val="140"/>
  <w:drawingGridVerticalSpacing w:val="381"/>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1C4075"/>
    <w:rsid w:val="0000574F"/>
    <w:rsid w:val="00006B1F"/>
    <w:rsid w:val="000135A1"/>
    <w:rsid w:val="0001385C"/>
    <w:rsid w:val="0001555C"/>
    <w:rsid w:val="0002034C"/>
    <w:rsid w:val="00022F80"/>
    <w:rsid w:val="0002771E"/>
    <w:rsid w:val="000311F2"/>
    <w:rsid w:val="00033FDA"/>
    <w:rsid w:val="00040A07"/>
    <w:rsid w:val="000548AF"/>
    <w:rsid w:val="000577E3"/>
    <w:rsid w:val="000619FE"/>
    <w:rsid w:val="000676BE"/>
    <w:rsid w:val="000677B3"/>
    <w:rsid w:val="00070C2F"/>
    <w:rsid w:val="000764DD"/>
    <w:rsid w:val="0008301F"/>
    <w:rsid w:val="0008524F"/>
    <w:rsid w:val="000855C9"/>
    <w:rsid w:val="00087FB5"/>
    <w:rsid w:val="0009644F"/>
    <w:rsid w:val="00097F56"/>
    <w:rsid w:val="000A2D3C"/>
    <w:rsid w:val="000A4F78"/>
    <w:rsid w:val="000B1C99"/>
    <w:rsid w:val="000B6EE2"/>
    <w:rsid w:val="000C1D3F"/>
    <w:rsid w:val="000C3B26"/>
    <w:rsid w:val="000C7A28"/>
    <w:rsid w:val="000D136C"/>
    <w:rsid w:val="000D21B1"/>
    <w:rsid w:val="000D2D01"/>
    <w:rsid w:val="000E24CD"/>
    <w:rsid w:val="000E5519"/>
    <w:rsid w:val="000F3CA3"/>
    <w:rsid w:val="000F49AB"/>
    <w:rsid w:val="000F6485"/>
    <w:rsid w:val="0011110F"/>
    <w:rsid w:val="00116120"/>
    <w:rsid w:val="001179E6"/>
    <w:rsid w:val="0012033E"/>
    <w:rsid w:val="0012092A"/>
    <w:rsid w:val="00132B5D"/>
    <w:rsid w:val="00135271"/>
    <w:rsid w:val="00147B45"/>
    <w:rsid w:val="0016027B"/>
    <w:rsid w:val="00170DEB"/>
    <w:rsid w:val="001762F6"/>
    <w:rsid w:val="00184B27"/>
    <w:rsid w:val="001A2243"/>
    <w:rsid w:val="001A5E17"/>
    <w:rsid w:val="001B455F"/>
    <w:rsid w:val="001B5259"/>
    <w:rsid w:val="001C4075"/>
    <w:rsid w:val="001C7A24"/>
    <w:rsid w:val="001D3A7B"/>
    <w:rsid w:val="001D45C3"/>
    <w:rsid w:val="001E04C0"/>
    <w:rsid w:val="001E6DB4"/>
    <w:rsid w:val="001F0D84"/>
    <w:rsid w:val="0020033D"/>
    <w:rsid w:val="002027F7"/>
    <w:rsid w:val="00204E82"/>
    <w:rsid w:val="00204FB2"/>
    <w:rsid w:val="00215C06"/>
    <w:rsid w:val="002175B3"/>
    <w:rsid w:val="00231004"/>
    <w:rsid w:val="00236916"/>
    <w:rsid w:val="00236B52"/>
    <w:rsid w:val="002414B5"/>
    <w:rsid w:val="00247DD9"/>
    <w:rsid w:val="00250473"/>
    <w:rsid w:val="00251F5C"/>
    <w:rsid w:val="00261A92"/>
    <w:rsid w:val="00265257"/>
    <w:rsid w:val="00271EB3"/>
    <w:rsid w:val="002739E8"/>
    <w:rsid w:val="002801FE"/>
    <w:rsid w:val="002831ED"/>
    <w:rsid w:val="00285E95"/>
    <w:rsid w:val="00286F37"/>
    <w:rsid w:val="00287D43"/>
    <w:rsid w:val="002927E4"/>
    <w:rsid w:val="00294628"/>
    <w:rsid w:val="00295479"/>
    <w:rsid w:val="00295703"/>
    <w:rsid w:val="002A28E1"/>
    <w:rsid w:val="002A2CB4"/>
    <w:rsid w:val="002A4DD0"/>
    <w:rsid w:val="002A71F5"/>
    <w:rsid w:val="002B1CCB"/>
    <w:rsid w:val="002B2352"/>
    <w:rsid w:val="002B4655"/>
    <w:rsid w:val="002D5811"/>
    <w:rsid w:val="002D7FE5"/>
    <w:rsid w:val="002E4732"/>
    <w:rsid w:val="002E7399"/>
    <w:rsid w:val="002F088A"/>
    <w:rsid w:val="002F36E1"/>
    <w:rsid w:val="0030196D"/>
    <w:rsid w:val="003026FE"/>
    <w:rsid w:val="00304690"/>
    <w:rsid w:val="00304EA1"/>
    <w:rsid w:val="003257AC"/>
    <w:rsid w:val="00332F70"/>
    <w:rsid w:val="00336F1B"/>
    <w:rsid w:val="00350676"/>
    <w:rsid w:val="003543C7"/>
    <w:rsid w:val="003728B7"/>
    <w:rsid w:val="0037428B"/>
    <w:rsid w:val="003765E9"/>
    <w:rsid w:val="003776E1"/>
    <w:rsid w:val="00380FF6"/>
    <w:rsid w:val="003827D5"/>
    <w:rsid w:val="003832E9"/>
    <w:rsid w:val="00386765"/>
    <w:rsid w:val="003A229C"/>
    <w:rsid w:val="003A47E9"/>
    <w:rsid w:val="003B2BAA"/>
    <w:rsid w:val="003B66E3"/>
    <w:rsid w:val="003C4234"/>
    <w:rsid w:val="003C4238"/>
    <w:rsid w:val="003C5FC8"/>
    <w:rsid w:val="003D13FD"/>
    <w:rsid w:val="003D2A6D"/>
    <w:rsid w:val="003E0E9D"/>
    <w:rsid w:val="003E4668"/>
    <w:rsid w:val="003E475D"/>
    <w:rsid w:val="003F1BD5"/>
    <w:rsid w:val="00404D3D"/>
    <w:rsid w:val="0040500F"/>
    <w:rsid w:val="00411A8D"/>
    <w:rsid w:val="00426743"/>
    <w:rsid w:val="0043232D"/>
    <w:rsid w:val="00441E94"/>
    <w:rsid w:val="00443200"/>
    <w:rsid w:val="0044483D"/>
    <w:rsid w:val="004454EE"/>
    <w:rsid w:val="00446CCB"/>
    <w:rsid w:val="00447D92"/>
    <w:rsid w:val="00452435"/>
    <w:rsid w:val="00471C9E"/>
    <w:rsid w:val="00477491"/>
    <w:rsid w:val="00480969"/>
    <w:rsid w:val="00481FF6"/>
    <w:rsid w:val="00482695"/>
    <w:rsid w:val="00484A07"/>
    <w:rsid w:val="00486139"/>
    <w:rsid w:val="00486A10"/>
    <w:rsid w:val="004A2110"/>
    <w:rsid w:val="004A410B"/>
    <w:rsid w:val="004A4422"/>
    <w:rsid w:val="004C14F5"/>
    <w:rsid w:val="004C23F8"/>
    <w:rsid w:val="004C4669"/>
    <w:rsid w:val="004D2127"/>
    <w:rsid w:val="004E7AA7"/>
    <w:rsid w:val="004F02A9"/>
    <w:rsid w:val="004F0C8D"/>
    <w:rsid w:val="004F47A4"/>
    <w:rsid w:val="004F6C77"/>
    <w:rsid w:val="00501101"/>
    <w:rsid w:val="0050510D"/>
    <w:rsid w:val="005132C6"/>
    <w:rsid w:val="00515D6D"/>
    <w:rsid w:val="0051649D"/>
    <w:rsid w:val="005167A8"/>
    <w:rsid w:val="00523A0C"/>
    <w:rsid w:val="00527B96"/>
    <w:rsid w:val="00537C71"/>
    <w:rsid w:val="00537D69"/>
    <w:rsid w:val="0055513C"/>
    <w:rsid w:val="00556508"/>
    <w:rsid w:val="00561253"/>
    <w:rsid w:val="00572162"/>
    <w:rsid w:val="00573685"/>
    <w:rsid w:val="00582CC0"/>
    <w:rsid w:val="005839DB"/>
    <w:rsid w:val="00584A56"/>
    <w:rsid w:val="00587358"/>
    <w:rsid w:val="005A0207"/>
    <w:rsid w:val="005A0286"/>
    <w:rsid w:val="005C1947"/>
    <w:rsid w:val="005D377C"/>
    <w:rsid w:val="005D627D"/>
    <w:rsid w:val="005D69A5"/>
    <w:rsid w:val="005D7919"/>
    <w:rsid w:val="005F3B71"/>
    <w:rsid w:val="005F5934"/>
    <w:rsid w:val="005F72B5"/>
    <w:rsid w:val="00605DA5"/>
    <w:rsid w:val="00612D30"/>
    <w:rsid w:val="006174D6"/>
    <w:rsid w:val="00617B6B"/>
    <w:rsid w:val="006210A4"/>
    <w:rsid w:val="00621F6E"/>
    <w:rsid w:val="00623343"/>
    <w:rsid w:val="00630FD2"/>
    <w:rsid w:val="00632C07"/>
    <w:rsid w:val="006356F0"/>
    <w:rsid w:val="006435F8"/>
    <w:rsid w:val="00653655"/>
    <w:rsid w:val="00661368"/>
    <w:rsid w:val="00661D4A"/>
    <w:rsid w:val="0066361A"/>
    <w:rsid w:val="00663AE3"/>
    <w:rsid w:val="00674A40"/>
    <w:rsid w:val="00685169"/>
    <w:rsid w:val="006906F9"/>
    <w:rsid w:val="0069105E"/>
    <w:rsid w:val="0069393D"/>
    <w:rsid w:val="006947BF"/>
    <w:rsid w:val="006979A1"/>
    <w:rsid w:val="006A0BAB"/>
    <w:rsid w:val="006A2992"/>
    <w:rsid w:val="006C040D"/>
    <w:rsid w:val="006D140D"/>
    <w:rsid w:val="006D2008"/>
    <w:rsid w:val="006D4F6A"/>
    <w:rsid w:val="006E1478"/>
    <w:rsid w:val="006E365D"/>
    <w:rsid w:val="006F3FB1"/>
    <w:rsid w:val="006F44DF"/>
    <w:rsid w:val="006F4E97"/>
    <w:rsid w:val="006F73E1"/>
    <w:rsid w:val="0072415A"/>
    <w:rsid w:val="00725929"/>
    <w:rsid w:val="00730BCF"/>
    <w:rsid w:val="0073603F"/>
    <w:rsid w:val="00740CBA"/>
    <w:rsid w:val="00763B91"/>
    <w:rsid w:val="00782EAA"/>
    <w:rsid w:val="007B03EC"/>
    <w:rsid w:val="007B298C"/>
    <w:rsid w:val="007B621C"/>
    <w:rsid w:val="007C004F"/>
    <w:rsid w:val="007C5C48"/>
    <w:rsid w:val="007D02E0"/>
    <w:rsid w:val="007D19CC"/>
    <w:rsid w:val="007D4629"/>
    <w:rsid w:val="007E11D1"/>
    <w:rsid w:val="007F1BFE"/>
    <w:rsid w:val="00802D3E"/>
    <w:rsid w:val="008035DE"/>
    <w:rsid w:val="00812B15"/>
    <w:rsid w:val="0081308C"/>
    <w:rsid w:val="008163DE"/>
    <w:rsid w:val="00821CA7"/>
    <w:rsid w:val="00832073"/>
    <w:rsid w:val="00832D42"/>
    <w:rsid w:val="00841D2D"/>
    <w:rsid w:val="00860AA7"/>
    <w:rsid w:val="0087207D"/>
    <w:rsid w:val="00873183"/>
    <w:rsid w:val="00875BB1"/>
    <w:rsid w:val="008770F4"/>
    <w:rsid w:val="00877207"/>
    <w:rsid w:val="0088502C"/>
    <w:rsid w:val="008868E5"/>
    <w:rsid w:val="00893B0A"/>
    <w:rsid w:val="00895578"/>
    <w:rsid w:val="0089783A"/>
    <w:rsid w:val="008A5350"/>
    <w:rsid w:val="008C0750"/>
    <w:rsid w:val="008C124F"/>
    <w:rsid w:val="008C76D5"/>
    <w:rsid w:val="008D1116"/>
    <w:rsid w:val="008D2676"/>
    <w:rsid w:val="008D3191"/>
    <w:rsid w:val="008D70B4"/>
    <w:rsid w:val="008D76A5"/>
    <w:rsid w:val="008E08D3"/>
    <w:rsid w:val="008E6E43"/>
    <w:rsid w:val="008F1C6F"/>
    <w:rsid w:val="008F6D5A"/>
    <w:rsid w:val="008F7C7D"/>
    <w:rsid w:val="00901A25"/>
    <w:rsid w:val="00926FB1"/>
    <w:rsid w:val="00930517"/>
    <w:rsid w:val="009332D7"/>
    <w:rsid w:val="00935646"/>
    <w:rsid w:val="00935D3B"/>
    <w:rsid w:val="00944328"/>
    <w:rsid w:val="00946352"/>
    <w:rsid w:val="00947186"/>
    <w:rsid w:val="00954807"/>
    <w:rsid w:val="00963175"/>
    <w:rsid w:val="0097206D"/>
    <w:rsid w:val="00981D34"/>
    <w:rsid w:val="009853F5"/>
    <w:rsid w:val="00986E97"/>
    <w:rsid w:val="00990E5C"/>
    <w:rsid w:val="00995399"/>
    <w:rsid w:val="009B6B61"/>
    <w:rsid w:val="009C7220"/>
    <w:rsid w:val="009E0E07"/>
    <w:rsid w:val="009E7FF0"/>
    <w:rsid w:val="00A119B0"/>
    <w:rsid w:val="00A1302C"/>
    <w:rsid w:val="00A150FA"/>
    <w:rsid w:val="00A20D26"/>
    <w:rsid w:val="00A21F67"/>
    <w:rsid w:val="00A22103"/>
    <w:rsid w:val="00A26950"/>
    <w:rsid w:val="00A26B13"/>
    <w:rsid w:val="00A27FE6"/>
    <w:rsid w:val="00A316D5"/>
    <w:rsid w:val="00A367E7"/>
    <w:rsid w:val="00A54F95"/>
    <w:rsid w:val="00A55BF5"/>
    <w:rsid w:val="00A70EF9"/>
    <w:rsid w:val="00A71036"/>
    <w:rsid w:val="00A73B70"/>
    <w:rsid w:val="00A9032D"/>
    <w:rsid w:val="00A94018"/>
    <w:rsid w:val="00AA3E90"/>
    <w:rsid w:val="00AA5095"/>
    <w:rsid w:val="00AA6BE0"/>
    <w:rsid w:val="00AA7998"/>
    <w:rsid w:val="00AC29A9"/>
    <w:rsid w:val="00AC4916"/>
    <w:rsid w:val="00AD3629"/>
    <w:rsid w:val="00AD7F85"/>
    <w:rsid w:val="00AE747A"/>
    <w:rsid w:val="00AE763F"/>
    <w:rsid w:val="00AF3A50"/>
    <w:rsid w:val="00AF488C"/>
    <w:rsid w:val="00B012B8"/>
    <w:rsid w:val="00B04218"/>
    <w:rsid w:val="00B14840"/>
    <w:rsid w:val="00B15D54"/>
    <w:rsid w:val="00B16E24"/>
    <w:rsid w:val="00B32752"/>
    <w:rsid w:val="00B61891"/>
    <w:rsid w:val="00B61911"/>
    <w:rsid w:val="00B72C6C"/>
    <w:rsid w:val="00B75E43"/>
    <w:rsid w:val="00B837D4"/>
    <w:rsid w:val="00B94A22"/>
    <w:rsid w:val="00BA2FE3"/>
    <w:rsid w:val="00BB77F0"/>
    <w:rsid w:val="00BC725E"/>
    <w:rsid w:val="00BC7ED4"/>
    <w:rsid w:val="00BE232A"/>
    <w:rsid w:val="00BE6BEE"/>
    <w:rsid w:val="00BF30DD"/>
    <w:rsid w:val="00C22762"/>
    <w:rsid w:val="00C234A5"/>
    <w:rsid w:val="00C279AF"/>
    <w:rsid w:val="00C50E90"/>
    <w:rsid w:val="00C527DA"/>
    <w:rsid w:val="00C56456"/>
    <w:rsid w:val="00C62CD5"/>
    <w:rsid w:val="00C71E1F"/>
    <w:rsid w:val="00C72D25"/>
    <w:rsid w:val="00C75632"/>
    <w:rsid w:val="00C76A1C"/>
    <w:rsid w:val="00C8005D"/>
    <w:rsid w:val="00C8765E"/>
    <w:rsid w:val="00C92AC7"/>
    <w:rsid w:val="00C965DE"/>
    <w:rsid w:val="00CA03F9"/>
    <w:rsid w:val="00CA0414"/>
    <w:rsid w:val="00CA3E9B"/>
    <w:rsid w:val="00CB4242"/>
    <w:rsid w:val="00CC1099"/>
    <w:rsid w:val="00CE0686"/>
    <w:rsid w:val="00CE56BB"/>
    <w:rsid w:val="00CF341F"/>
    <w:rsid w:val="00D014D6"/>
    <w:rsid w:val="00D124C3"/>
    <w:rsid w:val="00D15915"/>
    <w:rsid w:val="00D339D3"/>
    <w:rsid w:val="00D42DBE"/>
    <w:rsid w:val="00D43019"/>
    <w:rsid w:val="00D44ECC"/>
    <w:rsid w:val="00D52D9C"/>
    <w:rsid w:val="00D63122"/>
    <w:rsid w:val="00D76F73"/>
    <w:rsid w:val="00D8117B"/>
    <w:rsid w:val="00D82BA6"/>
    <w:rsid w:val="00DA68F9"/>
    <w:rsid w:val="00DB02E4"/>
    <w:rsid w:val="00DB099F"/>
    <w:rsid w:val="00DB0D9B"/>
    <w:rsid w:val="00DB3CD4"/>
    <w:rsid w:val="00DC19A3"/>
    <w:rsid w:val="00DD1D78"/>
    <w:rsid w:val="00DD2F57"/>
    <w:rsid w:val="00DE41CA"/>
    <w:rsid w:val="00DF7F32"/>
    <w:rsid w:val="00E0483C"/>
    <w:rsid w:val="00E04F2B"/>
    <w:rsid w:val="00E315AC"/>
    <w:rsid w:val="00E32648"/>
    <w:rsid w:val="00E3614A"/>
    <w:rsid w:val="00E37757"/>
    <w:rsid w:val="00E5269A"/>
    <w:rsid w:val="00E658EC"/>
    <w:rsid w:val="00E65F38"/>
    <w:rsid w:val="00E8798F"/>
    <w:rsid w:val="00E9409D"/>
    <w:rsid w:val="00E9510A"/>
    <w:rsid w:val="00EA0379"/>
    <w:rsid w:val="00EA0EA2"/>
    <w:rsid w:val="00EC28E2"/>
    <w:rsid w:val="00EC3B2E"/>
    <w:rsid w:val="00EC55F5"/>
    <w:rsid w:val="00EC6D75"/>
    <w:rsid w:val="00ED7906"/>
    <w:rsid w:val="00EE5BF1"/>
    <w:rsid w:val="00EE5CC9"/>
    <w:rsid w:val="00EE749A"/>
    <w:rsid w:val="00EE7C30"/>
    <w:rsid w:val="00EF1684"/>
    <w:rsid w:val="00EF5A1F"/>
    <w:rsid w:val="00F14727"/>
    <w:rsid w:val="00F14BB7"/>
    <w:rsid w:val="00F2689D"/>
    <w:rsid w:val="00F41B95"/>
    <w:rsid w:val="00F4322E"/>
    <w:rsid w:val="00F45B18"/>
    <w:rsid w:val="00F50B32"/>
    <w:rsid w:val="00F5130C"/>
    <w:rsid w:val="00F617C4"/>
    <w:rsid w:val="00F62F04"/>
    <w:rsid w:val="00F67356"/>
    <w:rsid w:val="00F760AF"/>
    <w:rsid w:val="00F846F8"/>
    <w:rsid w:val="00FA0D0F"/>
    <w:rsid w:val="00FA721D"/>
    <w:rsid w:val="00FB0485"/>
    <w:rsid w:val="00FB1BDE"/>
    <w:rsid w:val="00FC073F"/>
    <w:rsid w:val="00FC0E5D"/>
    <w:rsid w:val="00FC7B65"/>
    <w:rsid w:val="00FD3912"/>
    <w:rsid w:val="00FD5CEB"/>
    <w:rsid w:val="00FD6E66"/>
    <w:rsid w:val="00FF69A5"/>
    <w:rsid w:val="00FF6D5A"/>
    <w:rsid w:val="010C3C8C"/>
    <w:rsid w:val="011B3720"/>
    <w:rsid w:val="01947CE3"/>
    <w:rsid w:val="01A92CDB"/>
    <w:rsid w:val="01B7495C"/>
    <w:rsid w:val="01CC6681"/>
    <w:rsid w:val="01E06D0A"/>
    <w:rsid w:val="01E43F81"/>
    <w:rsid w:val="01F170D7"/>
    <w:rsid w:val="01F37C65"/>
    <w:rsid w:val="0228212F"/>
    <w:rsid w:val="025A0A5E"/>
    <w:rsid w:val="02786309"/>
    <w:rsid w:val="02821289"/>
    <w:rsid w:val="029C3B80"/>
    <w:rsid w:val="02E44190"/>
    <w:rsid w:val="02E857E5"/>
    <w:rsid w:val="02F216B0"/>
    <w:rsid w:val="02FA7832"/>
    <w:rsid w:val="032D3D0D"/>
    <w:rsid w:val="032F546A"/>
    <w:rsid w:val="0354356C"/>
    <w:rsid w:val="037606D9"/>
    <w:rsid w:val="038F65D9"/>
    <w:rsid w:val="03923AF1"/>
    <w:rsid w:val="03C23AA5"/>
    <w:rsid w:val="048E4C72"/>
    <w:rsid w:val="04945807"/>
    <w:rsid w:val="04C5373A"/>
    <w:rsid w:val="04DD5477"/>
    <w:rsid w:val="0515034F"/>
    <w:rsid w:val="053E55E9"/>
    <w:rsid w:val="055C592D"/>
    <w:rsid w:val="055F75F1"/>
    <w:rsid w:val="057B5590"/>
    <w:rsid w:val="058F27D8"/>
    <w:rsid w:val="05C85943"/>
    <w:rsid w:val="06747CF6"/>
    <w:rsid w:val="06947FED"/>
    <w:rsid w:val="06A04490"/>
    <w:rsid w:val="06BB33BD"/>
    <w:rsid w:val="06EF3D75"/>
    <w:rsid w:val="07176049"/>
    <w:rsid w:val="07510593"/>
    <w:rsid w:val="07805C6B"/>
    <w:rsid w:val="07951E65"/>
    <w:rsid w:val="079A5D68"/>
    <w:rsid w:val="07D80F68"/>
    <w:rsid w:val="080A1CB5"/>
    <w:rsid w:val="08593115"/>
    <w:rsid w:val="08A61291"/>
    <w:rsid w:val="08A64C26"/>
    <w:rsid w:val="08D17F04"/>
    <w:rsid w:val="08D5190C"/>
    <w:rsid w:val="08F71236"/>
    <w:rsid w:val="095D6F1B"/>
    <w:rsid w:val="095D7243"/>
    <w:rsid w:val="095F7812"/>
    <w:rsid w:val="096E6165"/>
    <w:rsid w:val="097659A4"/>
    <w:rsid w:val="09805A82"/>
    <w:rsid w:val="09CB33C0"/>
    <w:rsid w:val="0A113DE5"/>
    <w:rsid w:val="0A2C4282"/>
    <w:rsid w:val="0A751213"/>
    <w:rsid w:val="0A855967"/>
    <w:rsid w:val="0A965109"/>
    <w:rsid w:val="0AF617BA"/>
    <w:rsid w:val="0B0C5D4A"/>
    <w:rsid w:val="0B2B5A29"/>
    <w:rsid w:val="0B332437"/>
    <w:rsid w:val="0B8D5247"/>
    <w:rsid w:val="0B937901"/>
    <w:rsid w:val="0BBB349B"/>
    <w:rsid w:val="0BC037DC"/>
    <w:rsid w:val="0BCC1B11"/>
    <w:rsid w:val="0BE217D0"/>
    <w:rsid w:val="0C107C84"/>
    <w:rsid w:val="0C2762EC"/>
    <w:rsid w:val="0C433BEF"/>
    <w:rsid w:val="0C714A85"/>
    <w:rsid w:val="0CD73828"/>
    <w:rsid w:val="0CDD1A17"/>
    <w:rsid w:val="0CE904AC"/>
    <w:rsid w:val="0D072D1B"/>
    <w:rsid w:val="0D083790"/>
    <w:rsid w:val="0D585C6A"/>
    <w:rsid w:val="0D707D67"/>
    <w:rsid w:val="0D7C091E"/>
    <w:rsid w:val="0D7D5B67"/>
    <w:rsid w:val="0D846751"/>
    <w:rsid w:val="0DA25BB2"/>
    <w:rsid w:val="0DAC6B0A"/>
    <w:rsid w:val="0E404AD8"/>
    <w:rsid w:val="0EBA0C2D"/>
    <w:rsid w:val="0ECA24EA"/>
    <w:rsid w:val="0F071E28"/>
    <w:rsid w:val="0F0C6730"/>
    <w:rsid w:val="0F227D10"/>
    <w:rsid w:val="0F29271D"/>
    <w:rsid w:val="0F4F068B"/>
    <w:rsid w:val="0F9D4CCE"/>
    <w:rsid w:val="0FCF298E"/>
    <w:rsid w:val="105D699F"/>
    <w:rsid w:val="10B1704B"/>
    <w:rsid w:val="10EC635E"/>
    <w:rsid w:val="10EF2769"/>
    <w:rsid w:val="1100689F"/>
    <w:rsid w:val="115512E2"/>
    <w:rsid w:val="11761F78"/>
    <w:rsid w:val="118A4C31"/>
    <w:rsid w:val="11E514C3"/>
    <w:rsid w:val="128C151C"/>
    <w:rsid w:val="12AC3584"/>
    <w:rsid w:val="12BC6796"/>
    <w:rsid w:val="12C42508"/>
    <w:rsid w:val="12E10D00"/>
    <w:rsid w:val="130A6C6C"/>
    <w:rsid w:val="13167041"/>
    <w:rsid w:val="132520E8"/>
    <w:rsid w:val="138D0C3E"/>
    <w:rsid w:val="13AC7742"/>
    <w:rsid w:val="13C848FF"/>
    <w:rsid w:val="13E05C09"/>
    <w:rsid w:val="14140442"/>
    <w:rsid w:val="147A17E3"/>
    <w:rsid w:val="14940B7B"/>
    <w:rsid w:val="14CB322E"/>
    <w:rsid w:val="14DA7661"/>
    <w:rsid w:val="14E36C2C"/>
    <w:rsid w:val="15314C79"/>
    <w:rsid w:val="15390EB6"/>
    <w:rsid w:val="158F0163"/>
    <w:rsid w:val="15BA3BE0"/>
    <w:rsid w:val="15BD16FE"/>
    <w:rsid w:val="15E20769"/>
    <w:rsid w:val="162B5316"/>
    <w:rsid w:val="16537E7A"/>
    <w:rsid w:val="16674494"/>
    <w:rsid w:val="169564C0"/>
    <w:rsid w:val="16BD352F"/>
    <w:rsid w:val="16DA5BF2"/>
    <w:rsid w:val="174A2C00"/>
    <w:rsid w:val="179A7DB7"/>
    <w:rsid w:val="17BF01A1"/>
    <w:rsid w:val="17CA3A54"/>
    <w:rsid w:val="17F429F2"/>
    <w:rsid w:val="18551BBB"/>
    <w:rsid w:val="18BF4450"/>
    <w:rsid w:val="1919640C"/>
    <w:rsid w:val="194F374A"/>
    <w:rsid w:val="195A4F9F"/>
    <w:rsid w:val="19711273"/>
    <w:rsid w:val="19D45798"/>
    <w:rsid w:val="1A031473"/>
    <w:rsid w:val="1A306BA8"/>
    <w:rsid w:val="1A4D76C1"/>
    <w:rsid w:val="1A8F267B"/>
    <w:rsid w:val="1AB50AE7"/>
    <w:rsid w:val="1AC04B94"/>
    <w:rsid w:val="1B235DC4"/>
    <w:rsid w:val="1B2A4FA7"/>
    <w:rsid w:val="1B59018D"/>
    <w:rsid w:val="1B895561"/>
    <w:rsid w:val="1B8C7230"/>
    <w:rsid w:val="1B8F55B5"/>
    <w:rsid w:val="1BA708B6"/>
    <w:rsid w:val="1C107E3E"/>
    <w:rsid w:val="1C277C12"/>
    <w:rsid w:val="1C361A41"/>
    <w:rsid w:val="1C4C3F62"/>
    <w:rsid w:val="1C576F79"/>
    <w:rsid w:val="1C8004FF"/>
    <w:rsid w:val="1CED2DE4"/>
    <w:rsid w:val="1CF65E95"/>
    <w:rsid w:val="1CFC4B4D"/>
    <w:rsid w:val="1D966DCC"/>
    <w:rsid w:val="1DD244ED"/>
    <w:rsid w:val="1DE460B8"/>
    <w:rsid w:val="1DEC274C"/>
    <w:rsid w:val="1E274DE5"/>
    <w:rsid w:val="1E344EE1"/>
    <w:rsid w:val="1E4949FD"/>
    <w:rsid w:val="1E4A0B6D"/>
    <w:rsid w:val="1E731DA3"/>
    <w:rsid w:val="1E9843C0"/>
    <w:rsid w:val="1E9C23B1"/>
    <w:rsid w:val="1ED668E2"/>
    <w:rsid w:val="1ED83F42"/>
    <w:rsid w:val="1EDB1323"/>
    <w:rsid w:val="1EE45E9B"/>
    <w:rsid w:val="1EF81DD6"/>
    <w:rsid w:val="1F9D4A18"/>
    <w:rsid w:val="1FBF5614"/>
    <w:rsid w:val="1FE313C6"/>
    <w:rsid w:val="20787433"/>
    <w:rsid w:val="20BC01E2"/>
    <w:rsid w:val="20C21FA1"/>
    <w:rsid w:val="20FB1B56"/>
    <w:rsid w:val="212E066F"/>
    <w:rsid w:val="21373FF9"/>
    <w:rsid w:val="21405EAF"/>
    <w:rsid w:val="21587DF5"/>
    <w:rsid w:val="21611D15"/>
    <w:rsid w:val="21CF7BCE"/>
    <w:rsid w:val="21D41F25"/>
    <w:rsid w:val="21F177DC"/>
    <w:rsid w:val="220260F7"/>
    <w:rsid w:val="220452B6"/>
    <w:rsid w:val="22170B8B"/>
    <w:rsid w:val="223D1760"/>
    <w:rsid w:val="228B28D9"/>
    <w:rsid w:val="23BA0B33"/>
    <w:rsid w:val="23C910F3"/>
    <w:rsid w:val="23D41736"/>
    <w:rsid w:val="23E82052"/>
    <w:rsid w:val="240246BD"/>
    <w:rsid w:val="24190A03"/>
    <w:rsid w:val="246300FE"/>
    <w:rsid w:val="247C3689"/>
    <w:rsid w:val="248D74E6"/>
    <w:rsid w:val="249C0AA7"/>
    <w:rsid w:val="24D46AE9"/>
    <w:rsid w:val="24E96A2F"/>
    <w:rsid w:val="24EF7EDC"/>
    <w:rsid w:val="251804EA"/>
    <w:rsid w:val="257B39F3"/>
    <w:rsid w:val="257E2875"/>
    <w:rsid w:val="25B47E1B"/>
    <w:rsid w:val="25DD7500"/>
    <w:rsid w:val="26473DA8"/>
    <w:rsid w:val="26560E6A"/>
    <w:rsid w:val="26A224C5"/>
    <w:rsid w:val="26B64B04"/>
    <w:rsid w:val="26F96362"/>
    <w:rsid w:val="270D035C"/>
    <w:rsid w:val="273D7E50"/>
    <w:rsid w:val="276869B8"/>
    <w:rsid w:val="27B14812"/>
    <w:rsid w:val="27BE44F6"/>
    <w:rsid w:val="27F205D9"/>
    <w:rsid w:val="281E3E24"/>
    <w:rsid w:val="282B6C5D"/>
    <w:rsid w:val="28417B95"/>
    <w:rsid w:val="288474A5"/>
    <w:rsid w:val="28BE2E22"/>
    <w:rsid w:val="28C93B38"/>
    <w:rsid w:val="28F0067E"/>
    <w:rsid w:val="291F73CD"/>
    <w:rsid w:val="293F7F6E"/>
    <w:rsid w:val="2959177A"/>
    <w:rsid w:val="296A01B1"/>
    <w:rsid w:val="29841180"/>
    <w:rsid w:val="29B4240D"/>
    <w:rsid w:val="29BF7D44"/>
    <w:rsid w:val="29CF2C5B"/>
    <w:rsid w:val="2A3B662C"/>
    <w:rsid w:val="2A601361"/>
    <w:rsid w:val="2A675227"/>
    <w:rsid w:val="2AF423F3"/>
    <w:rsid w:val="2B0A3DE1"/>
    <w:rsid w:val="2B203E6B"/>
    <w:rsid w:val="2B7723FB"/>
    <w:rsid w:val="2B7B4375"/>
    <w:rsid w:val="2B8A6BB5"/>
    <w:rsid w:val="2BA85812"/>
    <w:rsid w:val="2BDC48CD"/>
    <w:rsid w:val="2BF05B8C"/>
    <w:rsid w:val="2C0D0BD5"/>
    <w:rsid w:val="2C892B19"/>
    <w:rsid w:val="2C8F5FFD"/>
    <w:rsid w:val="2CBE1B5C"/>
    <w:rsid w:val="2D2C4D23"/>
    <w:rsid w:val="2D5B7F59"/>
    <w:rsid w:val="2D8A40D3"/>
    <w:rsid w:val="2D8C7839"/>
    <w:rsid w:val="2D9D7A4E"/>
    <w:rsid w:val="2DC85FC5"/>
    <w:rsid w:val="2E072821"/>
    <w:rsid w:val="2E331991"/>
    <w:rsid w:val="2F342882"/>
    <w:rsid w:val="2F9327DC"/>
    <w:rsid w:val="2F9B4DE0"/>
    <w:rsid w:val="2FAB0E36"/>
    <w:rsid w:val="2FBE29B6"/>
    <w:rsid w:val="300318AB"/>
    <w:rsid w:val="30057038"/>
    <w:rsid w:val="311F3437"/>
    <w:rsid w:val="31463B66"/>
    <w:rsid w:val="314767A8"/>
    <w:rsid w:val="3161041F"/>
    <w:rsid w:val="316119F8"/>
    <w:rsid w:val="31890384"/>
    <w:rsid w:val="32202965"/>
    <w:rsid w:val="32244993"/>
    <w:rsid w:val="323A2695"/>
    <w:rsid w:val="32517E1E"/>
    <w:rsid w:val="326C3E04"/>
    <w:rsid w:val="32835EAA"/>
    <w:rsid w:val="328C3956"/>
    <w:rsid w:val="32C91706"/>
    <w:rsid w:val="32D87185"/>
    <w:rsid w:val="32F960CF"/>
    <w:rsid w:val="32FD0763"/>
    <w:rsid w:val="33C040F4"/>
    <w:rsid w:val="33DC7CE1"/>
    <w:rsid w:val="33FE153B"/>
    <w:rsid w:val="34236D67"/>
    <w:rsid w:val="34257544"/>
    <w:rsid w:val="34554DD2"/>
    <w:rsid w:val="34786611"/>
    <w:rsid w:val="34CF6FFC"/>
    <w:rsid w:val="351B7345"/>
    <w:rsid w:val="35426765"/>
    <w:rsid w:val="355E777E"/>
    <w:rsid w:val="35641BAB"/>
    <w:rsid w:val="35781108"/>
    <w:rsid w:val="3579471B"/>
    <w:rsid w:val="35ED27A7"/>
    <w:rsid w:val="361D5218"/>
    <w:rsid w:val="36D20856"/>
    <w:rsid w:val="36D707F8"/>
    <w:rsid w:val="370E43CB"/>
    <w:rsid w:val="37130660"/>
    <w:rsid w:val="37236C16"/>
    <w:rsid w:val="378D15AD"/>
    <w:rsid w:val="37B277A5"/>
    <w:rsid w:val="37BF0122"/>
    <w:rsid w:val="37D83999"/>
    <w:rsid w:val="385C1C8C"/>
    <w:rsid w:val="388F1AEC"/>
    <w:rsid w:val="38A02798"/>
    <w:rsid w:val="38CB42D4"/>
    <w:rsid w:val="38F46761"/>
    <w:rsid w:val="38FA2830"/>
    <w:rsid w:val="390F3454"/>
    <w:rsid w:val="39124998"/>
    <w:rsid w:val="391E1E4F"/>
    <w:rsid w:val="391F1B03"/>
    <w:rsid w:val="39533277"/>
    <w:rsid w:val="398B294C"/>
    <w:rsid w:val="39B14500"/>
    <w:rsid w:val="3A413F14"/>
    <w:rsid w:val="3A8267C9"/>
    <w:rsid w:val="3ACF4241"/>
    <w:rsid w:val="3B32388C"/>
    <w:rsid w:val="3B4C7C0F"/>
    <w:rsid w:val="3B85418F"/>
    <w:rsid w:val="3BBC3566"/>
    <w:rsid w:val="3C0F4E0E"/>
    <w:rsid w:val="3C5D580D"/>
    <w:rsid w:val="3C754A43"/>
    <w:rsid w:val="3C7A094B"/>
    <w:rsid w:val="3C853F55"/>
    <w:rsid w:val="3CA24C97"/>
    <w:rsid w:val="3CDA7606"/>
    <w:rsid w:val="3CF85CD7"/>
    <w:rsid w:val="3D1C4583"/>
    <w:rsid w:val="3D6018FF"/>
    <w:rsid w:val="3D9A0A3D"/>
    <w:rsid w:val="3E295EE8"/>
    <w:rsid w:val="3E2C733E"/>
    <w:rsid w:val="3E503AFF"/>
    <w:rsid w:val="3EA8155F"/>
    <w:rsid w:val="3EC9629B"/>
    <w:rsid w:val="3F0874CF"/>
    <w:rsid w:val="3F5F287B"/>
    <w:rsid w:val="3F815AA3"/>
    <w:rsid w:val="3FAE3BAD"/>
    <w:rsid w:val="3FEF34BE"/>
    <w:rsid w:val="40013434"/>
    <w:rsid w:val="401963A0"/>
    <w:rsid w:val="4025613A"/>
    <w:rsid w:val="4030574A"/>
    <w:rsid w:val="40B52D12"/>
    <w:rsid w:val="40C479C8"/>
    <w:rsid w:val="40D259D2"/>
    <w:rsid w:val="40F57091"/>
    <w:rsid w:val="412C3AA1"/>
    <w:rsid w:val="41387D4A"/>
    <w:rsid w:val="414D325C"/>
    <w:rsid w:val="41706AB7"/>
    <w:rsid w:val="419D21B8"/>
    <w:rsid w:val="41CC6E56"/>
    <w:rsid w:val="421A4024"/>
    <w:rsid w:val="42490A34"/>
    <w:rsid w:val="424A0C60"/>
    <w:rsid w:val="425D5D49"/>
    <w:rsid w:val="425D6A74"/>
    <w:rsid w:val="428E573A"/>
    <w:rsid w:val="42DD1FD0"/>
    <w:rsid w:val="432B1293"/>
    <w:rsid w:val="43482157"/>
    <w:rsid w:val="434E0BE5"/>
    <w:rsid w:val="43510EF4"/>
    <w:rsid w:val="4353275B"/>
    <w:rsid w:val="44070610"/>
    <w:rsid w:val="44410B34"/>
    <w:rsid w:val="44676101"/>
    <w:rsid w:val="44712150"/>
    <w:rsid w:val="449F5A12"/>
    <w:rsid w:val="44C0297D"/>
    <w:rsid w:val="44EF6C5C"/>
    <w:rsid w:val="45000895"/>
    <w:rsid w:val="451A53DC"/>
    <w:rsid w:val="45273D2B"/>
    <w:rsid w:val="453C6B6A"/>
    <w:rsid w:val="45603640"/>
    <w:rsid w:val="45857392"/>
    <w:rsid w:val="459B1114"/>
    <w:rsid w:val="45A65C07"/>
    <w:rsid w:val="45B853AB"/>
    <w:rsid w:val="45C775EC"/>
    <w:rsid w:val="45DD27C0"/>
    <w:rsid w:val="46023C88"/>
    <w:rsid w:val="4610638D"/>
    <w:rsid w:val="4648419C"/>
    <w:rsid w:val="46993C4B"/>
    <w:rsid w:val="46F76D13"/>
    <w:rsid w:val="473350B5"/>
    <w:rsid w:val="47345D0D"/>
    <w:rsid w:val="473E3625"/>
    <w:rsid w:val="474A5BFD"/>
    <w:rsid w:val="47596292"/>
    <w:rsid w:val="4775698B"/>
    <w:rsid w:val="47B606DB"/>
    <w:rsid w:val="47B80320"/>
    <w:rsid w:val="47C8719E"/>
    <w:rsid w:val="482E4111"/>
    <w:rsid w:val="483715BA"/>
    <w:rsid w:val="48B55CE4"/>
    <w:rsid w:val="48FD6D6C"/>
    <w:rsid w:val="4920552D"/>
    <w:rsid w:val="498157F0"/>
    <w:rsid w:val="498563B6"/>
    <w:rsid w:val="498E36C2"/>
    <w:rsid w:val="49B177B9"/>
    <w:rsid w:val="4A1033E1"/>
    <w:rsid w:val="4A926FCC"/>
    <w:rsid w:val="4A932973"/>
    <w:rsid w:val="4A967757"/>
    <w:rsid w:val="4AAA0FBE"/>
    <w:rsid w:val="4AE43DFD"/>
    <w:rsid w:val="4BA438C3"/>
    <w:rsid w:val="4BC35E40"/>
    <w:rsid w:val="4C42652B"/>
    <w:rsid w:val="4C61795D"/>
    <w:rsid w:val="4C981ED3"/>
    <w:rsid w:val="4CBC238E"/>
    <w:rsid w:val="4D0317B0"/>
    <w:rsid w:val="4D1579C3"/>
    <w:rsid w:val="4D3A733D"/>
    <w:rsid w:val="4DA82CB5"/>
    <w:rsid w:val="4DD05F48"/>
    <w:rsid w:val="4E090827"/>
    <w:rsid w:val="4E1569F7"/>
    <w:rsid w:val="4E30437C"/>
    <w:rsid w:val="4E8634A8"/>
    <w:rsid w:val="4E9536BA"/>
    <w:rsid w:val="4EA3778B"/>
    <w:rsid w:val="4EAF4CC2"/>
    <w:rsid w:val="4EFA3500"/>
    <w:rsid w:val="4F073135"/>
    <w:rsid w:val="4F3E386E"/>
    <w:rsid w:val="4F7F2E3E"/>
    <w:rsid w:val="4FB904F8"/>
    <w:rsid w:val="4FC729A4"/>
    <w:rsid w:val="4FD04D83"/>
    <w:rsid w:val="50391FEF"/>
    <w:rsid w:val="504F40CF"/>
    <w:rsid w:val="50676A5B"/>
    <w:rsid w:val="50950297"/>
    <w:rsid w:val="50B63E97"/>
    <w:rsid w:val="50B859FE"/>
    <w:rsid w:val="50ED157E"/>
    <w:rsid w:val="50F45888"/>
    <w:rsid w:val="51372B5F"/>
    <w:rsid w:val="51526F7D"/>
    <w:rsid w:val="51597854"/>
    <w:rsid w:val="515D2408"/>
    <w:rsid w:val="51797BB0"/>
    <w:rsid w:val="5185071F"/>
    <w:rsid w:val="518E3CFC"/>
    <w:rsid w:val="51AF1E3E"/>
    <w:rsid w:val="51D448DF"/>
    <w:rsid w:val="52084D1D"/>
    <w:rsid w:val="525B0E54"/>
    <w:rsid w:val="527051D9"/>
    <w:rsid w:val="52876F42"/>
    <w:rsid w:val="528E6BE9"/>
    <w:rsid w:val="52970C1D"/>
    <w:rsid w:val="529B1344"/>
    <w:rsid w:val="529F6CAE"/>
    <w:rsid w:val="533169A9"/>
    <w:rsid w:val="535C1735"/>
    <w:rsid w:val="537B1009"/>
    <w:rsid w:val="53AE01C6"/>
    <w:rsid w:val="53B509CF"/>
    <w:rsid w:val="53D11721"/>
    <w:rsid w:val="53EC0C7E"/>
    <w:rsid w:val="54107C85"/>
    <w:rsid w:val="541302BE"/>
    <w:rsid w:val="541A7D8F"/>
    <w:rsid w:val="54484C1D"/>
    <w:rsid w:val="5452503E"/>
    <w:rsid w:val="54C16D91"/>
    <w:rsid w:val="54DF76CA"/>
    <w:rsid w:val="5500209F"/>
    <w:rsid w:val="555E3E02"/>
    <w:rsid w:val="55952ACF"/>
    <w:rsid w:val="559643DE"/>
    <w:rsid w:val="55E765D6"/>
    <w:rsid w:val="55F968E4"/>
    <w:rsid w:val="56533D5D"/>
    <w:rsid w:val="566E7286"/>
    <w:rsid w:val="566F3BA5"/>
    <w:rsid w:val="56885198"/>
    <w:rsid w:val="56F832B2"/>
    <w:rsid w:val="570A3BA2"/>
    <w:rsid w:val="57116B86"/>
    <w:rsid w:val="571C4F27"/>
    <w:rsid w:val="573B3DEF"/>
    <w:rsid w:val="574523C0"/>
    <w:rsid w:val="57902366"/>
    <w:rsid w:val="57D417FB"/>
    <w:rsid w:val="58087A8B"/>
    <w:rsid w:val="58214A60"/>
    <w:rsid w:val="58267499"/>
    <w:rsid w:val="58421069"/>
    <w:rsid w:val="58665345"/>
    <w:rsid w:val="58A451C3"/>
    <w:rsid w:val="58A65F6B"/>
    <w:rsid w:val="58E4486F"/>
    <w:rsid w:val="593C6315"/>
    <w:rsid w:val="59751AA7"/>
    <w:rsid w:val="59A236F0"/>
    <w:rsid w:val="59A52A8F"/>
    <w:rsid w:val="59CD7A53"/>
    <w:rsid w:val="59DB2B49"/>
    <w:rsid w:val="5A0473EC"/>
    <w:rsid w:val="5A813BED"/>
    <w:rsid w:val="5AC81D7F"/>
    <w:rsid w:val="5AD260B9"/>
    <w:rsid w:val="5AFB3910"/>
    <w:rsid w:val="5B015C54"/>
    <w:rsid w:val="5B644E06"/>
    <w:rsid w:val="5C3B3B34"/>
    <w:rsid w:val="5C901BC3"/>
    <w:rsid w:val="5C943C17"/>
    <w:rsid w:val="5CDF4B30"/>
    <w:rsid w:val="5CE15463"/>
    <w:rsid w:val="5D641DA8"/>
    <w:rsid w:val="5D82649C"/>
    <w:rsid w:val="5D8D07C4"/>
    <w:rsid w:val="5D964E04"/>
    <w:rsid w:val="5DA34007"/>
    <w:rsid w:val="5DAA4C73"/>
    <w:rsid w:val="5DCA0E9A"/>
    <w:rsid w:val="5DF142D6"/>
    <w:rsid w:val="5E11489D"/>
    <w:rsid w:val="5E7064F1"/>
    <w:rsid w:val="5EC024CA"/>
    <w:rsid w:val="5EDA0AD8"/>
    <w:rsid w:val="5EEE2413"/>
    <w:rsid w:val="5EFE0FFB"/>
    <w:rsid w:val="5F1B4A05"/>
    <w:rsid w:val="5F222ADB"/>
    <w:rsid w:val="5F23151A"/>
    <w:rsid w:val="5F435AE9"/>
    <w:rsid w:val="5FBE3B7B"/>
    <w:rsid w:val="5FEF6C64"/>
    <w:rsid w:val="60947B10"/>
    <w:rsid w:val="609F64CB"/>
    <w:rsid w:val="60A441B7"/>
    <w:rsid w:val="60B16885"/>
    <w:rsid w:val="60D42870"/>
    <w:rsid w:val="60DA58C8"/>
    <w:rsid w:val="611503DC"/>
    <w:rsid w:val="616279F6"/>
    <w:rsid w:val="61845D36"/>
    <w:rsid w:val="61A4141C"/>
    <w:rsid w:val="61B82B7B"/>
    <w:rsid w:val="62063A55"/>
    <w:rsid w:val="62426C0A"/>
    <w:rsid w:val="62435C0C"/>
    <w:rsid w:val="624F5179"/>
    <w:rsid w:val="62522AAA"/>
    <w:rsid w:val="62546A05"/>
    <w:rsid w:val="62815682"/>
    <w:rsid w:val="631E29E3"/>
    <w:rsid w:val="635B3D36"/>
    <w:rsid w:val="635C11A4"/>
    <w:rsid w:val="637C7EEF"/>
    <w:rsid w:val="637F37D5"/>
    <w:rsid w:val="63930E85"/>
    <w:rsid w:val="63950410"/>
    <w:rsid w:val="64185CFC"/>
    <w:rsid w:val="642D1FB7"/>
    <w:rsid w:val="64422B4F"/>
    <w:rsid w:val="648363DC"/>
    <w:rsid w:val="657205AC"/>
    <w:rsid w:val="658D3738"/>
    <w:rsid w:val="65AF60D2"/>
    <w:rsid w:val="65B62E64"/>
    <w:rsid w:val="660A0200"/>
    <w:rsid w:val="66167B16"/>
    <w:rsid w:val="66482C47"/>
    <w:rsid w:val="664D4A4E"/>
    <w:rsid w:val="66701A0E"/>
    <w:rsid w:val="66A933CD"/>
    <w:rsid w:val="66F552F1"/>
    <w:rsid w:val="675114B3"/>
    <w:rsid w:val="6853456F"/>
    <w:rsid w:val="68746138"/>
    <w:rsid w:val="68B8665F"/>
    <w:rsid w:val="68E66EA8"/>
    <w:rsid w:val="69150A66"/>
    <w:rsid w:val="692D43BB"/>
    <w:rsid w:val="69531C42"/>
    <w:rsid w:val="69F6655C"/>
    <w:rsid w:val="6A076F80"/>
    <w:rsid w:val="6A196CD2"/>
    <w:rsid w:val="6A3269B9"/>
    <w:rsid w:val="6A5713E7"/>
    <w:rsid w:val="6A722671"/>
    <w:rsid w:val="6A784682"/>
    <w:rsid w:val="6A794402"/>
    <w:rsid w:val="6A882BA0"/>
    <w:rsid w:val="6AA316DB"/>
    <w:rsid w:val="6B3552D4"/>
    <w:rsid w:val="6B393826"/>
    <w:rsid w:val="6B456AF5"/>
    <w:rsid w:val="6B4E7B3E"/>
    <w:rsid w:val="6B646389"/>
    <w:rsid w:val="6B8654F8"/>
    <w:rsid w:val="6C3428A9"/>
    <w:rsid w:val="6C3C22CE"/>
    <w:rsid w:val="6CE2718E"/>
    <w:rsid w:val="6D2A4B2A"/>
    <w:rsid w:val="6D540636"/>
    <w:rsid w:val="6D671083"/>
    <w:rsid w:val="6D994E7E"/>
    <w:rsid w:val="6DA621A6"/>
    <w:rsid w:val="6DB566F7"/>
    <w:rsid w:val="6DD5458B"/>
    <w:rsid w:val="6E063EB0"/>
    <w:rsid w:val="6E33798A"/>
    <w:rsid w:val="6E3E4AEE"/>
    <w:rsid w:val="6E7F3781"/>
    <w:rsid w:val="6E85557A"/>
    <w:rsid w:val="6ECC113C"/>
    <w:rsid w:val="6EDA336D"/>
    <w:rsid w:val="6EEA2117"/>
    <w:rsid w:val="6F17236D"/>
    <w:rsid w:val="6F461CBC"/>
    <w:rsid w:val="6F8D522D"/>
    <w:rsid w:val="6FE3140B"/>
    <w:rsid w:val="70767786"/>
    <w:rsid w:val="70A95B80"/>
    <w:rsid w:val="70B121EF"/>
    <w:rsid w:val="70D33D21"/>
    <w:rsid w:val="70D35936"/>
    <w:rsid w:val="70F23A14"/>
    <w:rsid w:val="713577A2"/>
    <w:rsid w:val="71605F3F"/>
    <w:rsid w:val="716B7FD1"/>
    <w:rsid w:val="717C61A3"/>
    <w:rsid w:val="71814A07"/>
    <w:rsid w:val="72A94FE0"/>
    <w:rsid w:val="72E3146B"/>
    <w:rsid w:val="72EB16EA"/>
    <w:rsid w:val="72F10522"/>
    <w:rsid w:val="73047468"/>
    <w:rsid w:val="732337C5"/>
    <w:rsid w:val="73482FB5"/>
    <w:rsid w:val="73973B8A"/>
    <w:rsid w:val="73D93A1B"/>
    <w:rsid w:val="73E20A9E"/>
    <w:rsid w:val="73E27443"/>
    <w:rsid w:val="74047E01"/>
    <w:rsid w:val="74336DDA"/>
    <w:rsid w:val="74931499"/>
    <w:rsid w:val="749F72C2"/>
    <w:rsid w:val="74A87B67"/>
    <w:rsid w:val="74BC0EB3"/>
    <w:rsid w:val="74D01036"/>
    <w:rsid w:val="74F35622"/>
    <w:rsid w:val="751A37C2"/>
    <w:rsid w:val="75277A51"/>
    <w:rsid w:val="7597469C"/>
    <w:rsid w:val="75DF51D5"/>
    <w:rsid w:val="76175112"/>
    <w:rsid w:val="76176B00"/>
    <w:rsid w:val="763C5FE4"/>
    <w:rsid w:val="765936B1"/>
    <w:rsid w:val="7691539A"/>
    <w:rsid w:val="76A95880"/>
    <w:rsid w:val="76BD4714"/>
    <w:rsid w:val="76C95CC8"/>
    <w:rsid w:val="770807BB"/>
    <w:rsid w:val="773739A7"/>
    <w:rsid w:val="774547F8"/>
    <w:rsid w:val="77647F90"/>
    <w:rsid w:val="777A7E96"/>
    <w:rsid w:val="77F00C24"/>
    <w:rsid w:val="78535056"/>
    <w:rsid w:val="78A37D74"/>
    <w:rsid w:val="78B4536C"/>
    <w:rsid w:val="78CC46B2"/>
    <w:rsid w:val="790E59D8"/>
    <w:rsid w:val="792E4D5A"/>
    <w:rsid w:val="79C757CB"/>
    <w:rsid w:val="79DD6C73"/>
    <w:rsid w:val="7A39226D"/>
    <w:rsid w:val="7A92397F"/>
    <w:rsid w:val="7A9A73AC"/>
    <w:rsid w:val="7ADC099A"/>
    <w:rsid w:val="7B1D4ACB"/>
    <w:rsid w:val="7B29481A"/>
    <w:rsid w:val="7B3C0579"/>
    <w:rsid w:val="7B887AC8"/>
    <w:rsid w:val="7BA13C73"/>
    <w:rsid w:val="7BCB01C2"/>
    <w:rsid w:val="7BF17F08"/>
    <w:rsid w:val="7C120F9D"/>
    <w:rsid w:val="7C237017"/>
    <w:rsid w:val="7C5E55FA"/>
    <w:rsid w:val="7C936A99"/>
    <w:rsid w:val="7CD625AE"/>
    <w:rsid w:val="7D5A5E5B"/>
    <w:rsid w:val="7D696EDB"/>
    <w:rsid w:val="7D9550AE"/>
    <w:rsid w:val="7DC520CA"/>
    <w:rsid w:val="7DC608D8"/>
    <w:rsid w:val="7DE86F6A"/>
    <w:rsid w:val="7E1D5987"/>
    <w:rsid w:val="7E3C5A9A"/>
    <w:rsid w:val="7E7878AA"/>
    <w:rsid w:val="7E844782"/>
    <w:rsid w:val="7EC75E05"/>
    <w:rsid w:val="7EE644F6"/>
    <w:rsid w:val="7F0B718F"/>
    <w:rsid w:val="7F191B93"/>
    <w:rsid w:val="7F424B19"/>
    <w:rsid w:val="7F9A45D7"/>
    <w:rsid w:val="7FBE439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仿宋" w:cs="Times New Roman"/>
      <w:kern w:val="2"/>
      <w:sz w:val="28"/>
      <w:szCs w:val="24"/>
      <w:lang w:val="en-US" w:eastAsia="zh-CN" w:bidi="ar-SA"/>
    </w:rPr>
  </w:style>
  <w:style w:type="paragraph" w:styleId="2">
    <w:name w:val="heading 1"/>
    <w:basedOn w:val="1"/>
    <w:next w:val="1"/>
    <w:link w:val="17"/>
    <w:qFormat/>
    <w:uiPriority w:val="0"/>
    <w:pPr>
      <w:keepNext/>
      <w:keepLines/>
      <w:adjustRightInd w:val="0"/>
      <w:snapToGrid w:val="0"/>
      <w:spacing w:line="360" w:lineRule="auto"/>
      <w:ind w:firstLine="0" w:firstLineChars="0"/>
      <w:outlineLvl w:val="0"/>
    </w:pPr>
    <w:rPr>
      <w:rFonts w:eastAsia="黑体"/>
      <w:bCs/>
      <w:kern w:val="44"/>
      <w:sz w:val="36"/>
      <w:szCs w:val="44"/>
    </w:rPr>
  </w:style>
  <w:style w:type="paragraph" w:styleId="3">
    <w:name w:val="heading 2"/>
    <w:basedOn w:val="1"/>
    <w:next w:val="1"/>
    <w:link w:val="18"/>
    <w:unhideWhenUsed/>
    <w:qFormat/>
    <w:uiPriority w:val="0"/>
    <w:pPr>
      <w:keepNext/>
      <w:keepLines/>
      <w:adjustRightInd w:val="0"/>
      <w:snapToGrid w:val="0"/>
      <w:spacing w:line="360" w:lineRule="auto"/>
      <w:ind w:firstLine="0" w:firstLineChars="0"/>
      <w:outlineLvl w:val="1"/>
    </w:pPr>
    <w:rPr>
      <w:rFonts w:eastAsia="黑体"/>
      <w:bCs/>
      <w:sz w:val="32"/>
      <w:szCs w:val="32"/>
    </w:rPr>
  </w:style>
  <w:style w:type="paragraph" w:styleId="4">
    <w:name w:val="heading 3"/>
    <w:basedOn w:val="1"/>
    <w:next w:val="1"/>
    <w:link w:val="35"/>
    <w:unhideWhenUsed/>
    <w:qFormat/>
    <w:uiPriority w:val="0"/>
    <w:pPr>
      <w:keepNext/>
      <w:keepLines/>
      <w:adjustRightInd w:val="0"/>
      <w:snapToGrid w:val="0"/>
      <w:spacing w:line="360" w:lineRule="auto"/>
      <w:ind w:firstLine="0" w:firstLineChars="0"/>
      <w:outlineLvl w:val="2"/>
    </w:pPr>
    <w:rPr>
      <w:rFonts w:eastAsia="黑体"/>
      <w:bCs/>
      <w:sz w:val="30"/>
      <w:szCs w:val="32"/>
    </w:rPr>
  </w:style>
  <w:style w:type="character" w:default="1" w:styleId="13">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5">
    <w:name w:val="Document Map"/>
    <w:basedOn w:val="1"/>
    <w:link w:val="32"/>
    <w:qFormat/>
    <w:uiPriority w:val="0"/>
    <w:rPr>
      <w:rFonts w:ascii="宋体" w:eastAsia="宋体"/>
      <w:sz w:val="18"/>
      <w:szCs w:val="18"/>
    </w:rPr>
  </w:style>
  <w:style w:type="paragraph" w:styleId="6">
    <w:name w:val="annotation text"/>
    <w:basedOn w:val="1"/>
    <w:qFormat/>
    <w:uiPriority w:val="0"/>
    <w:pPr>
      <w:jc w:val="left"/>
    </w:pPr>
  </w:style>
  <w:style w:type="paragraph" w:styleId="7">
    <w:name w:val="Balloon Text"/>
    <w:basedOn w:val="1"/>
    <w:link w:val="33"/>
    <w:qFormat/>
    <w:uiPriority w:val="0"/>
    <w:rPr>
      <w:sz w:val="18"/>
      <w:szCs w:val="18"/>
    </w:rPr>
  </w:style>
  <w:style w:type="paragraph" w:styleId="8">
    <w:name w:val="footer"/>
    <w:basedOn w:val="1"/>
    <w:link w:val="34"/>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spacing w:line="360" w:lineRule="auto"/>
      <w:ind w:firstLine="0" w:firstLineChars="0"/>
    </w:pPr>
    <w:rPr>
      <w:rFonts w:eastAsia="宋体"/>
      <w:b/>
    </w:rPr>
  </w:style>
  <w:style w:type="paragraph" w:styleId="11">
    <w:name w:val="toc 2"/>
    <w:basedOn w:val="1"/>
    <w:next w:val="1"/>
    <w:qFormat/>
    <w:uiPriority w:val="39"/>
    <w:pPr>
      <w:spacing w:line="360" w:lineRule="auto"/>
    </w:pPr>
    <w:rPr>
      <w:rFonts w:eastAsia="宋体"/>
    </w:rPr>
  </w:style>
  <w:style w:type="paragraph" w:styleId="12">
    <w:name w:val="Body Text 2"/>
    <w:basedOn w:val="1"/>
    <w:qFormat/>
    <w:uiPriority w:val="0"/>
    <w:pPr>
      <w:spacing w:after="120" w:line="480" w:lineRule="auto"/>
    </w:pPr>
  </w:style>
  <w:style w:type="character" w:styleId="14">
    <w:name w:val="page number"/>
    <w:basedOn w:val="13"/>
    <w:qFormat/>
    <w:uiPriority w:val="0"/>
  </w:style>
  <w:style w:type="character" w:styleId="15">
    <w:name w:val="Hyperlink"/>
    <w:basedOn w:val="13"/>
    <w:unhideWhenUsed/>
    <w:qFormat/>
    <w:uiPriority w:val="99"/>
    <w:rPr>
      <w:color w:val="0563C1" w:themeColor="hyperlink"/>
      <w:u w:val="single"/>
    </w:rPr>
  </w:style>
  <w:style w:type="character" w:customStyle="1" w:styleId="17">
    <w:name w:val="标题 1 Char"/>
    <w:link w:val="2"/>
    <w:qFormat/>
    <w:uiPriority w:val="0"/>
    <w:rPr>
      <w:rFonts w:eastAsia="黑体"/>
      <w:bCs/>
      <w:kern w:val="44"/>
      <w:sz w:val="36"/>
      <w:szCs w:val="44"/>
    </w:rPr>
  </w:style>
  <w:style w:type="character" w:customStyle="1" w:styleId="18">
    <w:name w:val="标题 2 Char"/>
    <w:link w:val="3"/>
    <w:qFormat/>
    <w:uiPriority w:val="0"/>
    <w:rPr>
      <w:rFonts w:eastAsia="黑体"/>
      <w:bCs/>
      <w:sz w:val="32"/>
      <w:szCs w:val="32"/>
    </w:rPr>
  </w:style>
  <w:style w:type="paragraph" w:customStyle="1" w:styleId="19">
    <w:name w:val="样式 标题 3 + (中文) 仿宋_GB2312 小三 黑色 首行缩进:  2 字符 段前: 0 磅 段后: 0 磅"/>
    <w:basedOn w:val="4"/>
    <w:qFormat/>
    <w:uiPriority w:val="0"/>
    <w:rPr>
      <w:rFonts w:eastAsia="仿宋_GB2312" w:cs="宋体"/>
      <w:color w:val="000000"/>
      <w:kern w:val="0"/>
      <w:szCs w:val="20"/>
    </w:rPr>
  </w:style>
  <w:style w:type="character" w:customStyle="1" w:styleId="20">
    <w:name w:val="font11"/>
    <w:basedOn w:val="13"/>
    <w:qFormat/>
    <w:uiPriority w:val="0"/>
    <w:rPr>
      <w:rFonts w:hint="eastAsia" w:ascii="宋体" w:hAnsi="宋体" w:eastAsia="宋体" w:cs="宋体"/>
      <w:color w:val="000000"/>
      <w:sz w:val="18"/>
      <w:szCs w:val="18"/>
      <w:u w:val="none"/>
    </w:rPr>
  </w:style>
  <w:style w:type="character" w:customStyle="1" w:styleId="21">
    <w:name w:val="font21"/>
    <w:basedOn w:val="13"/>
    <w:qFormat/>
    <w:uiPriority w:val="0"/>
    <w:rPr>
      <w:rFonts w:hint="eastAsia" w:ascii="宋体" w:hAnsi="宋体" w:eastAsia="宋体" w:cs="宋体"/>
      <w:color w:val="000000"/>
      <w:sz w:val="18"/>
      <w:szCs w:val="18"/>
      <w:u w:val="none"/>
    </w:rPr>
  </w:style>
  <w:style w:type="character" w:customStyle="1" w:styleId="22">
    <w:name w:val="font51"/>
    <w:basedOn w:val="13"/>
    <w:qFormat/>
    <w:uiPriority w:val="0"/>
    <w:rPr>
      <w:rFonts w:hint="default" w:ascii="Times New Roman" w:hAnsi="Times New Roman" w:cs="Times New Roman"/>
      <w:color w:val="000000"/>
      <w:sz w:val="12"/>
      <w:szCs w:val="12"/>
      <w:u w:val="none"/>
    </w:rPr>
  </w:style>
  <w:style w:type="character" w:customStyle="1" w:styleId="23">
    <w:name w:val="font31"/>
    <w:basedOn w:val="13"/>
    <w:qFormat/>
    <w:uiPriority w:val="0"/>
    <w:rPr>
      <w:rFonts w:hint="eastAsia" w:ascii="宋体" w:hAnsi="宋体" w:eastAsia="宋体" w:cs="宋体"/>
      <w:color w:val="000000"/>
      <w:sz w:val="18"/>
      <w:szCs w:val="18"/>
      <w:u w:val="none"/>
    </w:rPr>
  </w:style>
  <w:style w:type="paragraph" w:customStyle="1" w:styleId="24">
    <w:name w:val="样式 标题 2 + 黑色 段前: 4 磅 段后: 4 磅"/>
    <w:basedOn w:val="3"/>
    <w:qFormat/>
    <w:uiPriority w:val="0"/>
    <w:rPr>
      <w:rFonts w:cs="宋体"/>
      <w:bCs w:val="0"/>
      <w:color w:val="000000"/>
      <w:szCs w:val="20"/>
    </w:rPr>
  </w:style>
  <w:style w:type="character" w:customStyle="1" w:styleId="25">
    <w:name w:val="font41"/>
    <w:basedOn w:val="13"/>
    <w:qFormat/>
    <w:uiPriority w:val="0"/>
    <w:rPr>
      <w:rFonts w:hint="default" w:ascii="Times New Roman" w:hAnsi="Times New Roman" w:cs="Times New Roman"/>
      <w:b/>
      <w:color w:val="000000"/>
      <w:sz w:val="18"/>
      <w:szCs w:val="18"/>
      <w:u w:val="none"/>
    </w:rPr>
  </w:style>
  <w:style w:type="character" w:customStyle="1" w:styleId="26">
    <w:name w:val="font01"/>
    <w:basedOn w:val="13"/>
    <w:qFormat/>
    <w:uiPriority w:val="0"/>
    <w:rPr>
      <w:rFonts w:hint="default" w:ascii="Times New Roman" w:hAnsi="Times New Roman" w:cs="Times New Roman"/>
      <w:color w:val="000000"/>
      <w:sz w:val="20"/>
      <w:szCs w:val="20"/>
      <w:u w:val="none"/>
    </w:rPr>
  </w:style>
  <w:style w:type="paragraph" w:customStyle="1" w:styleId="27">
    <w:name w:val="段"/>
    <w:qFormat/>
    <w:uiPriority w:val="0"/>
    <w:pPr>
      <w:autoSpaceDE w:val="0"/>
      <w:autoSpaceDN w:val="0"/>
      <w:ind w:firstLine="200" w:firstLineChars="200"/>
      <w:jc w:val="both"/>
    </w:pPr>
    <w:rPr>
      <w:rFonts w:ascii="宋体" w:hAnsi="Times New Roman" w:eastAsia="宋体" w:cs="Times New Roman"/>
      <w:kern w:val="2"/>
      <w:sz w:val="22"/>
      <w:szCs w:val="22"/>
      <w:lang w:val="en-US" w:eastAsia="zh-CN" w:bidi="ar-SA"/>
    </w:rPr>
  </w:style>
  <w:style w:type="character" w:customStyle="1" w:styleId="28">
    <w:name w:val="font81"/>
    <w:basedOn w:val="13"/>
    <w:qFormat/>
    <w:uiPriority w:val="0"/>
    <w:rPr>
      <w:rFonts w:hint="default" w:ascii="Times New Roman" w:hAnsi="Times New Roman" w:cs="Times New Roman"/>
      <w:b/>
      <w:color w:val="000000"/>
      <w:sz w:val="18"/>
      <w:szCs w:val="18"/>
      <w:u w:val="none"/>
    </w:rPr>
  </w:style>
  <w:style w:type="character" w:customStyle="1" w:styleId="29">
    <w:name w:val="font61"/>
    <w:basedOn w:val="13"/>
    <w:qFormat/>
    <w:uiPriority w:val="0"/>
    <w:rPr>
      <w:rFonts w:hint="default" w:ascii="Times New Roman" w:hAnsi="Times New Roman" w:cs="Times New Roman"/>
      <w:color w:val="000000"/>
      <w:sz w:val="18"/>
      <w:szCs w:val="18"/>
      <w:u w:val="none"/>
    </w:rPr>
  </w:style>
  <w:style w:type="character" w:customStyle="1" w:styleId="30">
    <w:name w:val="font101"/>
    <w:basedOn w:val="13"/>
    <w:qFormat/>
    <w:uiPriority w:val="0"/>
    <w:rPr>
      <w:rFonts w:hint="default" w:ascii="Times New Roman" w:hAnsi="Times New Roman" w:cs="Times New Roman"/>
      <w:b/>
      <w:color w:val="000000"/>
      <w:sz w:val="22"/>
      <w:szCs w:val="22"/>
      <w:u w:val="none"/>
    </w:rPr>
  </w:style>
  <w:style w:type="character" w:customStyle="1" w:styleId="31">
    <w:name w:val="font111"/>
    <w:basedOn w:val="13"/>
    <w:qFormat/>
    <w:uiPriority w:val="0"/>
    <w:rPr>
      <w:rFonts w:hint="default" w:ascii="Times New Roman" w:hAnsi="Times New Roman" w:cs="Times New Roman"/>
      <w:color w:val="000000"/>
      <w:sz w:val="22"/>
      <w:szCs w:val="22"/>
      <w:u w:val="none"/>
    </w:rPr>
  </w:style>
  <w:style w:type="character" w:customStyle="1" w:styleId="32">
    <w:name w:val="文档结构图 Char"/>
    <w:basedOn w:val="13"/>
    <w:link w:val="5"/>
    <w:qFormat/>
    <w:uiPriority w:val="0"/>
    <w:rPr>
      <w:rFonts w:ascii="宋体"/>
      <w:kern w:val="2"/>
      <w:sz w:val="18"/>
      <w:szCs w:val="18"/>
    </w:rPr>
  </w:style>
  <w:style w:type="character" w:customStyle="1" w:styleId="33">
    <w:name w:val="批注框文本 Char"/>
    <w:basedOn w:val="13"/>
    <w:link w:val="7"/>
    <w:qFormat/>
    <w:uiPriority w:val="0"/>
    <w:rPr>
      <w:rFonts w:eastAsia="仿宋"/>
      <w:kern w:val="2"/>
      <w:sz w:val="18"/>
      <w:szCs w:val="18"/>
    </w:rPr>
  </w:style>
  <w:style w:type="character" w:customStyle="1" w:styleId="34">
    <w:name w:val="页脚 Char"/>
    <w:basedOn w:val="13"/>
    <w:link w:val="8"/>
    <w:qFormat/>
    <w:uiPriority w:val="99"/>
    <w:rPr>
      <w:rFonts w:eastAsia="仿宋"/>
      <w:kern w:val="2"/>
      <w:sz w:val="18"/>
      <w:szCs w:val="18"/>
    </w:rPr>
  </w:style>
  <w:style w:type="character" w:customStyle="1" w:styleId="35">
    <w:name w:val="标题 3 Char"/>
    <w:link w:val="4"/>
    <w:qFormat/>
    <w:uiPriority w:val="0"/>
    <w:rPr>
      <w:rFonts w:eastAsia="黑体"/>
      <w:bCs/>
      <w:sz w:val="30"/>
      <w:szCs w:val="32"/>
    </w:rPr>
  </w:style>
  <w:style w:type="paragraph" w:customStyle="1" w:styleId="3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D07F9A-DDF7-4DB4-9DC3-F5C6EE8CC91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8932</Words>
  <Characters>10422</Characters>
  <Lines>846</Lines>
  <Paragraphs>238</Paragraphs>
  <ScaleCrop>false</ScaleCrop>
  <LinksUpToDate>false</LinksUpToDate>
  <CharactersWithSpaces>119101</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2018-10-15T04:27:00Z</cp:lastPrinted>
  <dcterms:modified xsi:type="dcterms:W3CDTF">2018-10-22T09:32:42Z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