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eastAsiaTheme="minorEastAsia" w:cstheme="minorBidi"/>
          <w:kern w:val="2"/>
          <w:sz w:val="21"/>
          <w:szCs w:val="24"/>
          <w:lang w:val="en-US" w:eastAsia="zh-CN" w:bidi="ar-SA"/>
        </w:rPr>
      </w:pPr>
    </w:p>
    <w:p>
      <w:pPr>
        <w:tabs>
          <w:tab w:val="left" w:pos="2038"/>
        </w:tabs>
        <w:jc w:val="center"/>
        <w:rPr>
          <w:rFonts w:hint="eastAsia"/>
          <w:b/>
          <w:bCs/>
          <w:sz w:val="36"/>
          <w:szCs w:val="36"/>
          <w:lang w:val="en-US" w:eastAsia="zh-CN"/>
        </w:rPr>
      </w:pPr>
      <w:r>
        <w:rPr>
          <w:rFonts w:hint="eastAsia"/>
          <w:b/>
          <w:bCs/>
          <w:sz w:val="36"/>
          <w:szCs w:val="36"/>
          <w:lang w:val="en-US" w:eastAsia="zh-CN"/>
        </w:rPr>
        <w:t>关于合作市房地产管理局商铺拍卖会变更公告</w:t>
      </w:r>
    </w:p>
    <w:p>
      <w:pPr>
        <w:keepNext w:val="0"/>
        <w:keepLines w:val="0"/>
        <w:pageBreakBefore w:val="0"/>
        <w:widowControl w:val="0"/>
        <w:tabs>
          <w:tab w:val="left" w:pos="2038"/>
        </w:tabs>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sz w:val="28"/>
          <w:szCs w:val="28"/>
          <w:lang w:val="en-US" w:eastAsia="zh-CN"/>
        </w:rPr>
      </w:pPr>
      <w:r>
        <w:rPr>
          <w:rFonts w:hint="eastAsia"/>
          <w:lang w:val="en-US" w:eastAsia="zh-CN"/>
        </w:rPr>
        <w:t xml:space="preserve">      </w:t>
      </w:r>
      <w:r>
        <w:rPr>
          <w:rFonts w:hint="eastAsia"/>
          <w:sz w:val="28"/>
          <w:szCs w:val="28"/>
          <w:lang w:val="en-US" w:eastAsia="zh-CN"/>
        </w:rPr>
        <w:t>我公司2017年8月28日刊登于《甘南日报》、发布于《合作市人民政府网站》及《甘南州公共资源交易中心网站》的（甘南交资告字[2017]01号），合作市房地产管理局商铺拍卖公告中标的竞买保证金及拍卖会各项时间变更如下：</w:t>
      </w:r>
    </w:p>
    <w:p>
      <w:pPr>
        <w:keepNext w:val="0"/>
        <w:keepLines w:val="0"/>
        <w:pageBreakBefore w:val="0"/>
        <w:widowControl w:val="0"/>
        <w:numPr>
          <w:ilvl w:val="0"/>
          <w:numId w:val="1"/>
        </w:numPr>
        <w:tabs>
          <w:tab w:val="left" w:pos="2038"/>
        </w:tabs>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b/>
          <w:bCs/>
          <w:sz w:val="28"/>
          <w:szCs w:val="28"/>
          <w:lang w:val="en-US" w:eastAsia="zh-CN"/>
        </w:rPr>
      </w:pPr>
      <w:r>
        <w:rPr>
          <w:rFonts w:hint="eastAsia"/>
          <w:b/>
          <w:bCs/>
          <w:sz w:val="28"/>
          <w:szCs w:val="28"/>
          <w:lang w:val="en-US" w:eastAsia="zh-CN"/>
        </w:rPr>
        <w:t>竞买保证金调整变更</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20" w:lineRule="exact"/>
        <w:ind w:leftChars="0" w:right="0" w:rightChars="0"/>
        <w:jc w:val="both"/>
        <w:textAlignment w:val="auto"/>
        <w:outlineLvl w:val="9"/>
        <w:rPr>
          <w:rFonts w:hint="eastAsia" w:asciiTheme="majorEastAsia" w:hAnsiTheme="majorEastAsia" w:eastAsiaTheme="majorEastAsia"/>
          <w:sz w:val="28"/>
          <w:szCs w:val="28"/>
        </w:rPr>
      </w:pPr>
      <w:r>
        <w:rPr>
          <w:rFonts w:asciiTheme="majorEastAsia" w:hAnsiTheme="majorEastAsia" w:eastAsiaTheme="majorEastAsia"/>
          <w:sz w:val="28"/>
          <w:szCs w:val="28"/>
        </w:rPr>
        <w:t>标的</w:t>
      </w:r>
      <w:r>
        <w:rPr>
          <w:rFonts w:hint="eastAsia" w:asciiTheme="majorEastAsia" w:hAnsiTheme="majorEastAsia" w:eastAsiaTheme="majorEastAsia"/>
          <w:sz w:val="28"/>
          <w:szCs w:val="28"/>
        </w:rPr>
        <w:t>1：美森佳苑四期廉租住房和公租房项目配建商业用房</w:t>
      </w:r>
    </w:p>
    <w:tbl>
      <w:tblPr>
        <w:tblStyle w:val="3"/>
        <w:tblpPr w:leftFromText="180" w:rightFromText="180" w:vertAnchor="text" w:horzAnchor="page" w:tblpX="787" w:tblpY="499"/>
        <w:tblOverlap w:val="never"/>
        <w:tblW w:w="10600" w:type="dxa"/>
        <w:tblInd w:w="0" w:type="dxa"/>
        <w:tblLayout w:type="fixed"/>
        <w:tblCellMar>
          <w:top w:w="0" w:type="dxa"/>
          <w:left w:w="108" w:type="dxa"/>
          <w:bottom w:w="0" w:type="dxa"/>
          <w:right w:w="108" w:type="dxa"/>
        </w:tblCellMar>
      </w:tblPr>
      <w:tblGrid>
        <w:gridCol w:w="656"/>
        <w:gridCol w:w="659"/>
        <w:gridCol w:w="960"/>
        <w:gridCol w:w="870"/>
        <w:gridCol w:w="1050"/>
        <w:gridCol w:w="975"/>
        <w:gridCol w:w="1065"/>
        <w:gridCol w:w="1080"/>
        <w:gridCol w:w="900"/>
        <w:gridCol w:w="1200"/>
        <w:gridCol w:w="1185"/>
      </w:tblGrid>
      <w:tr>
        <w:tblPrEx>
          <w:tblLayout w:type="fixed"/>
          <w:tblCellMar>
            <w:top w:w="0" w:type="dxa"/>
            <w:left w:w="108" w:type="dxa"/>
            <w:bottom w:w="0" w:type="dxa"/>
            <w:right w:w="108" w:type="dxa"/>
          </w:tblCellMar>
        </w:tblPrEx>
        <w:trPr>
          <w:trHeight w:val="312" w:hRule="atLeast"/>
        </w:trPr>
        <w:tc>
          <w:tcPr>
            <w:tcW w:w="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楼层</w:t>
            </w:r>
          </w:p>
        </w:tc>
        <w:tc>
          <w:tcPr>
            <w:tcW w:w="6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商铺编号</w:t>
            </w:r>
          </w:p>
        </w:tc>
        <w:tc>
          <w:tcPr>
            <w:tcW w:w="9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商铺面积（㎡）</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单价（元/㎡）</w:t>
            </w:r>
          </w:p>
        </w:tc>
        <w:tc>
          <w:tcPr>
            <w:tcW w:w="105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商铺总价（元）</w:t>
            </w:r>
          </w:p>
        </w:tc>
        <w:tc>
          <w:tcPr>
            <w:tcW w:w="97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分摊面积（㎡）</w:t>
            </w:r>
          </w:p>
        </w:tc>
        <w:tc>
          <w:tcPr>
            <w:tcW w:w="106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分摊总价（元）</w:t>
            </w:r>
          </w:p>
        </w:tc>
        <w:tc>
          <w:tcPr>
            <w:tcW w:w="10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起拍价（万元）</w:t>
            </w:r>
          </w:p>
        </w:tc>
        <w:tc>
          <w:tcPr>
            <w:tcW w:w="90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加价幅度</w:t>
            </w:r>
            <w:r>
              <w:rPr>
                <w:rFonts w:hint="eastAsia" w:cs="宋体" w:asciiTheme="minorEastAsia" w:hAnsiTheme="minorEastAsia" w:eastAsiaTheme="minorEastAsia"/>
                <w:kern w:val="0"/>
                <w:sz w:val="21"/>
                <w:szCs w:val="21"/>
              </w:rPr>
              <w:t>（万元）</w:t>
            </w:r>
          </w:p>
        </w:tc>
        <w:tc>
          <w:tcPr>
            <w:tcW w:w="120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eastAsia="zh-CN"/>
              </w:rPr>
              <w:t>原</w:t>
            </w:r>
            <w:r>
              <w:rPr>
                <w:rFonts w:hint="eastAsia" w:cs="宋体" w:asciiTheme="minorEastAsia" w:hAnsiTheme="minorEastAsia" w:eastAsiaTheme="minorEastAsia"/>
                <w:kern w:val="0"/>
                <w:szCs w:val="21"/>
              </w:rPr>
              <w:t>保证金（万元）</w:t>
            </w:r>
          </w:p>
        </w:tc>
        <w:tc>
          <w:tcPr>
            <w:tcW w:w="1185"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Cs w:val="21"/>
                <w:lang w:eastAsia="zh-CN"/>
              </w:rPr>
            </w:pPr>
            <w:r>
              <w:rPr>
                <w:rFonts w:hint="eastAsia" w:cs="宋体" w:asciiTheme="minorEastAsia" w:hAnsiTheme="minorEastAsia" w:eastAsiaTheme="minorEastAsia"/>
                <w:kern w:val="0"/>
                <w:szCs w:val="21"/>
                <w:lang w:eastAsia="zh-CN"/>
              </w:rPr>
              <w:t>现保证金（万元）</w:t>
            </w:r>
          </w:p>
        </w:tc>
      </w:tr>
      <w:tr>
        <w:tblPrEx>
          <w:tblLayout w:type="fixed"/>
          <w:tblCellMar>
            <w:top w:w="0" w:type="dxa"/>
            <w:left w:w="108" w:type="dxa"/>
            <w:bottom w:w="0" w:type="dxa"/>
            <w:right w:w="108" w:type="dxa"/>
          </w:tblCellMar>
        </w:tblPrEx>
        <w:trPr>
          <w:trHeight w:val="989" w:hRule="atLeast"/>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9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05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97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06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0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9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200" w:type="dxa"/>
            <w:vMerge w:val="continue"/>
            <w:tcBorders>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185" w:type="dxa"/>
            <w:vMerge w:val="continue"/>
            <w:tcBorders>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r>
      <w:tr>
        <w:tblPrEx>
          <w:tblLayout w:type="fixed"/>
          <w:tblCellMar>
            <w:top w:w="0" w:type="dxa"/>
            <w:left w:w="108" w:type="dxa"/>
            <w:bottom w:w="0" w:type="dxa"/>
            <w:right w:w="108" w:type="dxa"/>
          </w:tblCellMar>
        </w:tblPrEx>
        <w:trPr>
          <w:trHeight w:val="1394" w:hRule="atLeast"/>
        </w:trPr>
        <w:tc>
          <w:tcPr>
            <w:tcW w:w="6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w:t>
            </w:r>
          </w:p>
        </w:tc>
        <w:tc>
          <w:tcPr>
            <w:tcW w:w="659"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w:t>
            </w:r>
          </w:p>
        </w:tc>
        <w:tc>
          <w:tcPr>
            <w:tcW w:w="96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684.34</w:t>
            </w:r>
          </w:p>
        </w:tc>
        <w:tc>
          <w:tcPr>
            <w:tcW w:w="87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7131</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4880279</w:t>
            </w:r>
          </w:p>
        </w:tc>
        <w:tc>
          <w:tcPr>
            <w:tcW w:w="97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65.98</w:t>
            </w:r>
          </w:p>
        </w:tc>
        <w:tc>
          <w:tcPr>
            <w:tcW w:w="106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716730</w:t>
            </w:r>
          </w:p>
        </w:tc>
        <w:tc>
          <w:tcPr>
            <w:tcW w:w="108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559.7009</w:t>
            </w:r>
          </w:p>
        </w:tc>
        <w:tc>
          <w:tcPr>
            <w:tcW w:w="9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2</w:t>
            </w:r>
          </w:p>
        </w:tc>
        <w:tc>
          <w:tcPr>
            <w:tcW w:w="12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559.7009</w:t>
            </w:r>
          </w:p>
        </w:tc>
        <w:tc>
          <w:tcPr>
            <w:tcW w:w="118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112</w:t>
            </w:r>
          </w:p>
        </w:tc>
      </w:tr>
      <w:tr>
        <w:tblPrEx>
          <w:tblLayout w:type="fixed"/>
          <w:tblCellMar>
            <w:top w:w="0" w:type="dxa"/>
            <w:left w:w="108" w:type="dxa"/>
            <w:bottom w:w="0" w:type="dxa"/>
            <w:right w:w="108" w:type="dxa"/>
          </w:tblCellMar>
        </w:tblPrEx>
        <w:trPr>
          <w:trHeight w:val="1408" w:hRule="atLeast"/>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659"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w:t>
            </w:r>
          </w:p>
        </w:tc>
        <w:tc>
          <w:tcPr>
            <w:tcW w:w="96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488.68</w:t>
            </w:r>
          </w:p>
        </w:tc>
        <w:tc>
          <w:tcPr>
            <w:tcW w:w="87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6990</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3415947</w:t>
            </w:r>
          </w:p>
        </w:tc>
        <w:tc>
          <w:tcPr>
            <w:tcW w:w="97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65.58</w:t>
            </w:r>
          </w:p>
        </w:tc>
        <w:tc>
          <w:tcPr>
            <w:tcW w:w="106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712447</w:t>
            </w:r>
          </w:p>
        </w:tc>
        <w:tc>
          <w:tcPr>
            <w:tcW w:w="108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412.8394</w:t>
            </w:r>
          </w:p>
        </w:tc>
        <w:tc>
          <w:tcPr>
            <w:tcW w:w="9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2</w:t>
            </w:r>
          </w:p>
        </w:tc>
        <w:tc>
          <w:tcPr>
            <w:tcW w:w="12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412.8394</w:t>
            </w:r>
          </w:p>
        </w:tc>
        <w:tc>
          <w:tcPr>
            <w:tcW w:w="118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83</w:t>
            </w:r>
          </w:p>
        </w:tc>
      </w:tr>
      <w:tr>
        <w:tblPrEx>
          <w:tblLayout w:type="fixed"/>
          <w:tblCellMar>
            <w:top w:w="0" w:type="dxa"/>
            <w:left w:w="108" w:type="dxa"/>
            <w:bottom w:w="0" w:type="dxa"/>
            <w:right w:w="108" w:type="dxa"/>
          </w:tblCellMar>
        </w:tblPrEx>
        <w:trPr>
          <w:trHeight w:val="1425" w:hRule="atLeast"/>
        </w:trPr>
        <w:tc>
          <w:tcPr>
            <w:tcW w:w="6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w:t>
            </w:r>
          </w:p>
        </w:tc>
        <w:tc>
          <w:tcPr>
            <w:tcW w:w="659"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w:t>
            </w:r>
          </w:p>
        </w:tc>
        <w:tc>
          <w:tcPr>
            <w:tcW w:w="96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705.52</w:t>
            </w:r>
          </w:p>
        </w:tc>
        <w:tc>
          <w:tcPr>
            <w:tcW w:w="87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5887</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4153108</w:t>
            </w:r>
          </w:p>
        </w:tc>
        <w:tc>
          <w:tcPr>
            <w:tcW w:w="97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68.02</w:t>
            </w:r>
          </w:p>
        </w:tc>
        <w:tc>
          <w:tcPr>
            <w:tcW w:w="106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738912</w:t>
            </w:r>
          </w:p>
        </w:tc>
        <w:tc>
          <w:tcPr>
            <w:tcW w:w="108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489.202</w:t>
            </w:r>
          </w:p>
        </w:tc>
        <w:tc>
          <w:tcPr>
            <w:tcW w:w="9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2</w:t>
            </w:r>
          </w:p>
        </w:tc>
        <w:tc>
          <w:tcPr>
            <w:tcW w:w="12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489.202</w:t>
            </w:r>
          </w:p>
        </w:tc>
        <w:tc>
          <w:tcPr>
            <w:tcW w:w="118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98</w:t>
            </w:r>
          </w:p>
        </w:tc>
      </w:tr>
      <w:tr>
        <w:tblPrEx>
          <w:tblLayout w:type="fixed"/>
          <w:tblCellMar>
            <w:top w:w="0" w:type="dxa"/>
            <w:left w:w="108" w:type="dxa"/>
            <w:bottom w:w="0" w:type="dxa"/>
            <w:right w:w="108" w:type="dxa"/>
          </w:tblCellMar>
        </w:tblPrEx>
        <w:trPr>
          <w:trHeight w:val="2066" w:hRule="atLeast"/>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659"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w:t>
            </w:r>
          </w:p>
        </w:tc>
        <w:tc>
          <w:tcPr>
            <w:tcW w:w="96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509.77</w:t>
            </w:r>
          </w:p>
        </w:tc>
        <w:tc>
          <w:tcPr>
            <w:tcW w:w="87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5770</w:t>
            </w:r>
          </w:p>
        </w:tc>
        <w:tc>
          <w:tcPr>
            <w:tcW w:w="105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2941386</w:t>
            </w:r>
          </w:p>
        </w:tc>
        <w:tc>
          <w:tcPr>
            <w:tcW w:w="97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68.42</w:t>
            </w:r>
          </w:p>
        </w:tc>
        <w:tc>
          <w:tcPr>
            <w:tcW w:w="1065"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743195</w:t>
            </w:r>
          </w:p>
        </w:tc>
        <w:tc>
          <w:tcPr>
            <w:tcW w:w="108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368.458</w:t>
            </w:r>
          </w:p>
        </w:tc>
        <w:tc>
          <w:tcPr>
            <w:tcW w:w="900" w:type="dxa"/>
            <w:tcBorders>
              <w:top w:val="nil"/>
              <w:left w:val="nil"/>
              <w:bottom w:val="single" w:color="auto" w:sz="4" w:space="0"/>
              <w:right w:val="single" w:color="auto" w:sz="4" w:space="0"/>
            </w:tcBorders>
            <w:shd w:val="clear" w:color="000000" w:fill="FFFFFF"/>
            <w:vAlign w:val="center"/>
          </w:tcPr>
          <w:p>
            <w:pPr>
              <w:widowControl/>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2</w:t>
            </w:r>
          </w:p>
        </w:tc>
        <w:tc>
          <w:tcPr>
            <w:tcW w:w="1200" w:type="dxa"/>
            <w:tcBorders>
              <w:top w:val="nil"/>
              <w:left w:val="nil"/>
              <w:bottom w:val="single" w:color="auto" w:sz="4" w:space="0"/>
              <w:right w:val="single" w:color="auto" w:sz="4" w:space="0"/>
            </w:tcBorders>
            <w:shd w:val="clear" w:color="000000" w:fill="FFFFFF"/>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368.458</w:t>
            </w:r>
          </w:p>
        </w:tc>
        <w:tc>
          <w:tcPr>
            <w:tcW w:w="1185"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val="en-US" w:eastAsia="zh-CN"/>
              </w:rPr>
              <w:t>74</w:t>
            </w:r>
          </w:p>
        </w:tc>
      </w:tr>
      <w:tr>
        <w:tblPrEx>
          <w:tblLayout w:type="fixed"/>
          <w:tblCellMar>
            <w:top w:w="0" w:type="dxa"/>
            <w:left w:w="108" w:type="dxa"/>
            <w:bottom w:w="0" w:type="dxa"/>
            <w:right w:w="108" w:type="dxa"/>
          </w:tblCellMar>
        </w:tblPrEx>
        <w:trPr>
          <w:trHeight w:val="1177" w:hRule="atLeast"/>
        </w:trPr>
        <w:tc>
          <w:tcPr>
            <w:tcW w:w="10600" w:type="dxa"/>
            <w:gridSpan w:val="11"/>
            <w:tcBorders>
              <w:top w:val="single" w:color="auto" w:sz="4" w:space="0"/>
              <w:left w:val="single" w:color="auto" w:sz="4" w:space="0"/>
              <w:bottom w:val="single" w:color="000000" w:sz="4" w:space="0"/>
              <w:right w:val="single" w:color="auto" w:sz="4" w:space="0"/>
            </w:tcBorders>
            <w:vAlign w:val="center"/>
          </w:tcPr>
          <w:p>
            <w:pPr>
              <w:pStyle w:val="4"/>
              <w:widowControl/>
              <w:spacing w:line="520" w:lineRule="exact"/>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30"/>
                <w:szCs w:val="30"/>
                <w:lang w:val="en-US" w:eastAsia="zh-CN"/>
              </w:rPr>
              <w:t xml:space="preserve"> </w:t>
            </w:r>
            <w:r>
              <w:rPr>
                <w:rFonts w:hint="eastAsia" w:asciiTheme="minorEastAsia" w:hAnsiTheme="minorEastAsia" w:eastAsiaTheme="minorEastAsia"/>
                <w:sz w:val="24"/>
                <w:szCs w:val="24"/>
                <w:lang w:val="en-US" w:eastAsia="zh-CN"/>
              </w:rPr>
              <w:t>标的位置：位于合作市汽车南站东侧美森佳苑10号楼</w:t>
            </w:r>
          </w:p>
          <w:p>
            <w:pPr>
              <w:widowControl/>
              <w:jc w:val="center"/>
              <w:rPr>
                <w:rFonts w:hint="eastAsia" w:cs="宋体" w:asciiTheme="minorEastAsia" w:hAnsiTheme="minorEastAsia" w:eastAsiaTheme="minorEastAsia"/>
                <w:kern w:val="0"/>
                <w:szCs w:val="21"/>
              </w:rPr>
            </w:pPr>
          </w:p>
        </w:tc>
      </w:tr>
    </w:tbl>
    <w:p>
      <w:pPr>
        <w:pStyle w:val="4"/>
        <w:widowControl/>
        <w:spacing w:line="520" w:lineRule="exact"/>
        <w:rPr>
          <w:rFonts w:hint="eastAsia" w:ascii="宋体" w:hAnsi="宋体" w:eastAsiaTheme="minorEastAsia"/>
          <w:color w:val="000000"/>
          <w:sz w:val="28"/>
          <w:szCs w:val="28"/>
          <w:lang w:eastAsia="zh-CN"/>
        </w:rPr>
      </w:pPr>
      <w:r>
        <w:rPr>
          <w:rFonts w:hint="eastAsia" w:asciiTheme="minorEastAsia" w:hAnsiTheme="minorEastAsia" w:eastAsiaTheme="minorEastAsia"/>
          <w:sz w:val="30"/>
          <w:szCs w:val="30"/>
          <w:lang w:val="en-US" w:eastAsia="zh-CN"/>
        </w:rPr>
        <w:t xml:space="preserve">      </w:t>
      </w:r>
    </w:p>
    <w:p>
      <w:pPr>
        <w:pStyle w:val="4"/>
        <w:spacing w:line="520" w:lineRule="exact"/>
        <w:ind w:firstLine="200"/>
        <w:jc w:val="left"/>
        <w:rPr>
          <w:rFonts w:hint="eastAsia" w:ascii="宋体" w:hAnsi="宋体"/>
          <w:color w:val="000000"/>
          <w:sz w:val="28"/>
          <w:szCs w:val="28"/>
        </w:rPr>
      </w:pPr>
      <w:r>
        <w:rPr>
          <w:rFonts w:ascii="宋体" w:hAnsi="宋体"/>
          <w:color w:val="000000"/>
          <w:sz w:val="28"/>
          <w:szCs w:val="28"/>
        </w:rPr>
        <w:t>标的</w:t>
      </w:r>
      <w:r>
        <w:rPr>
          <w:rFonts w:hint="eastAsia" w:ascii="宋体" w:hAnsi="宋体"/>
          <w:color w:val="000000"/>
          <w:sz w:val="28"/>
          <w:szCs w:val="28"/>
        </w:rPr>
        <w:t>2：合作市林业职工周转房建设项目配建商业用房</w:t>
      </w:r>
    </w:p>
    <w:p>
      <w:pPr>
        <w:pStyle w:val="4"/>
        <w:spacing w:line="520" w:lineRule="exact"/>
        <w:ind w:firstLine="200"/>
        <w:jc w:val="left"/>
        <w:rPr>
          <w:rFonts w:hint="eastAsia" w:ascii="宋体" w:hAnsi="宋体"/>
          <w:color w:val="000000"/>
          <w:sz w:val="28"/>
          <w:szCs w:val="28"/>
          <w:lang w:eastAsia="zh-CN"/>
        </w:rPr>
      </w:pPr>
    </w:p>
    <w:tbl>
      <w:tblPr>
        <w:tblStyle w:val="3"/>
        <w:tblW w:w="10786" w:type="dxa"/>
        <w:tblInd w:w="-885" w:type="dxa"/>
        <w:tblLayout w:type="fixed"/>
        <w:tblCellMar>
          <w:top w:w="0" w:type="dxa"/>
          <w:left w:w="108" w:type="dxa"/>
          <w:bottom w:w="0" w:type="dxa"/>
          <w:right w:w="108" w:type="dxa"/>
        </w:tblCellMar>
      </w:tblPr>
      <w:tblGrid>
        <w:gridCol w:w="724"/>
        <w:gridCol w:w="1134"/>
        <w:gridCol w:w="963"/>
        <w:gridCol w:w="1260"/>
        <w:gridCol w:w="1035"/>
        <w:gridCol w:w="1155"/>
        <w:gridCol w:w="1230"/>
        <w:gridCol w:w="915"/>
        <w:gridCol w:w="1110"/>
        <w:gridCol w:w="1260"/>
      </w:tblGrid>
      <w:tr>
        <w:tblPrEx>
          <w:tblLayout w:type="fixed"/>
          <w:tblCellMar>
            <w:top w:w="0" w:type="dxa"/>
            <w:left w:w="108" w:type="dxa"/>
            <w:bottom w:w="0" w:type="dxa"/>
            <w:right w:w="108" w:type="dxa"/>
          </w:tblCellMar>
        </w:tblPrEx>
        <w:trPr>
          <w:trHeight w:val="1213"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商铺编号</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一层商铺面积（㎡）</w:t>
            </w:r>
          </w:p>
        </w:tc>
        <w:tc>
          <w:tcPr>
            <w:tcW w:w="9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单价</w:t>
            </w:r>
            <w:r>
              <w:rPr>
                <w:rFonts w:hint="eastAsia" w:ascii="宋体" w:hAnsi="宋体" w:cs="宋体"/>
                <w:kern w:val="0"/>
                <w:szCs w:val="21"/>
              </w:rPr>
              <w:br w:type="textWrapping"/>
            </w:r>
            <w:r>
              <w:rPr>
                <w:rFonts w:hint="eastAsia" w:ascii="宋体" w:hAnsi="宋体" w:cs="宋体"/>
                <w:kern w:val="0"/>
                <w:szCs w:val="21"/>
              </w:rPr>
              <w:t>（元/㎡）</w:t>
            </w:r>
          </w:p>
        </w:tc>
        <w:tc>
          <w:tcPr>
            <w:tcW w:w="1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二层商铺面积（㎡）</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单价</w:t>
            </w:r>
            <w:r>
              <w:rPr>
                <w:rFonts w:hint="eastAsia" w:ascii="宋体" w:hAnsi="宋体" w:cs="宋体"/>
                <w:kern w:val="0"/>
                <w:szCs w:val="21"/>
              </w:rPr>
              <w:br w:type="textWrapping"/>
            </w:r>
            <w:r>
              <w:rPr>
                <w:rFonts w:hint="eastAsia" w:ascii="宋体" w:hAnsi="宋体" w:cs="宋体"/>
                <w:kern w:val="0"/>
                <w:szCs w:val="21"/>
              </w:rPr>
              <w:t>（元/㎡）</w:t>
            </w:r>
          </w:p>
        </w:tc>
        <w:tc>
          <w:tcPr>
            <w:tcW w:w="11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商铺总面积（㎡）</w:t>
            </w:r>
          </w:p>
        </w:tc>
        <w:tc>
          <w:tcPr>
            <w:tcW w:w="12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起始价</w:t>
            </w:r>
            <w:r>
              <w:rPr>
                <w:rFonts w:hint="eastAsia" w:ascii="宋体" w:hAnsi="宋体" w:cs="宋体"/>
                <w:kern w:val="0"/>
                <w:szCs w:val="21"/>
              </w:rPr>
              <w:br w:type="textWrapping"/>
            </w:r>
            <w:r>
              <w:rPr>
                <w:rFonts w:hint="eastAsia" w:ascii="宋体" w:hAnsi="宋体" w:cs="宋体"/>
                <w:kern w:val="0"/>
                <w:szCs w:val="21"/>
              </w:rPr>
              <w:t>（万元)</w:t>
            </w:r>
          </w:p>
        </w:tc>
        <w:tc>
          <w:tcPr>
            <w:tcW w:w="9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加价幅度（万元）</w:t>
            </w:r>
          </w:p>
        </w:tc>
        <w:tc>
          <w:tcPr>
            <w:tcW w:w="11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eastAsia="zh-CN"/>
              </w:rPr>
              <w:t>原</w:t>
            </w:r>
            <w:r>
              <w:rPr>
                <w:rFonts w:hint="eastAsia" w:ascii="宋体" w:hAnsi="宋体" w:cs="宋体"/>
                <w:kern w:val="0"/>
                <w:szCs w:val="21"/>
              </w:rPr>
              <w:t>保证金</w:t>
            </w:r>
            <w:r>
              <w:rPr>
                <w:rFonts w:hint="eastAsia" w:ascii="宋体" w:hAnsi="宋体" w:cs="宋体"/>
                <w:kern w:val="0"/>
                <w:szCs w:val="21"/>
              </w:rPr>
              <w:br w:type="textWrapping"/>
            </w:r>
            <w:r>
              <w:rPr>
                <w:rFonts w:hint="eastAsia" w:ascii="宋体" w:hAnsi="宋体" w:cs="宋体"/>
                <w:kern w:val="0"/>
                <w:szCs w:val="21"/>
              </w:rPr>
              <w:t>（万元）</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eastAsia="zh-CN"/>
              </w:rPr>
              <w:t>现保证金（万元）</w:t>
            </w:r>
          </w:p>
        </w:tc>
      </w:tr>
      <w:tr>
        <w:tblPrEx>
          <w:tblLayout w:type="fixed"/>
          <w:tblCellMar>
            <w:top w:w="0" w:type="dxa"/>
            <w:left w:w="108" w:type="dxa"/>
            <w:bottom w:w="0" w:type="dxa"/>
            <w:right w:w="108" w:type="dxa"/>
          </w:tblCellMar>
        </w:tblPrEx>
        <w:trPr>
          <w:trHeight w:val="94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137.79</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10427</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137.79</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143.6713</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143.6713</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29</w:t>
            </w:r>
          </w:p>
        </w:tc>
      </w:tr>
      <w:tr>
        <w:tblPrEx>
          <w:tblLayout w:type="fixed"/>
          <w:tblCellMar>
            <w:top w:w="0" w:type="dxa"/>
            <w:left w:w="108" w:type="dxa"/>
            <w:bottom w:w="0" w:type="dxa"/>
            <w:right w:w="108" w:type="dxa"/>
          </w:tblCellMar>
        </w:tblPrEx>
        <w:trPr>
          <w:trHeight w:val="90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137.79</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10427</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137.79</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143.6713</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143.6713</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29</w:t>
            </w:r>
          </w:p>
        </w:tc>
      </w:tr>
      <w:tr>
        <w:tblPrEx>
          <w:tblLayout w:type="fixed"/>
          <w:tblCellMar>
            <w:top w:w="0" w:type="dxa"/>
            <w:left w:w="108" w:type="dxa"/>
            <w:bottom w:w="0" w:type="dxa"/>
            <w:right w:w="108" w:type="dxa"/>
          </w:tblCellMar>
        </w:tblPrEx>
        <w:trPr>
          <w:trHeight w:val="94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52.8</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10325</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217.2</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7141</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270</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209.616</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209.616</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42</w:t>
            </w:r>
          </w:p>
        </w:tc>
      </w:tr>
      <w:tr>
        <w:tblPrEx>
          <w:tblLayout w:type="fixed"/>
          <w:tblCellMar>
            <w:top w:w="0" w:type="dxa"/>
            <w:left w:w="108" w:type="dxa"/>
            <w:bottom w:w="0" w:type="dxa"/>
            <w:right w:w="108" w:type="dxa"/>
          </w:tblCellMar>
        </w:tblPrEx>
        <w:trPr>
          <w:trHeight w:val="90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4</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121.17</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10273</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177.23</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7106</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298.4</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250.417</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250.417</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50</w:t>
            </w:r>
          </w:p>
        </w:tc>
      </w:tr>
      <w:tr>
        <w:tblPrEx>
          <w:tblLayout w:type="fixed"/>
        </w:tblPrEx>
        <w:trPr>
          <w:trHeight w:val="99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5</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102.81</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10171</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102.81</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104.5709</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104.5709</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21</w:t>
            </w:r>
          </w:p>
        </w:tc>
      </w:tr>
      <w:tr>
        <w:tblPrEx>
          <w:tblLayout w:type="fixed"/>
          <w:tblCellMar>
            <w:top w:w="0" w:type="dxa"/>
            <w:left w:w="108" w:type="dxa"/>
            <w:bottom w:w="0" w:type="dxa"/>
            <w:right w:w="108" w:type="dxa"/>
          </w:tblCellMar>
        </w:tblPrEx>
        <w:trPr>
          <w:trHeight w:val="102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6</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34.98</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10120</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233.82</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7000</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268.8</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199.0644</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199.0644</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40</w:t>
            </w:r>
          </w:p>
        </w:tc>
      </w:tr>
      <w:tr>
        <w:tblPrEx>
          <w:tblLayout w:type="fixed"/>
          <w:tblCellMar>
            <w:top w:w="0" w:type="dxa"/>
            <w:left w:w="108" w:type="dxa"/>
            <w:bottom w:w="0" w:type="dxa"/>
            <w:right w:w="108" w:type="dxa"/>
          </w:tblCellMar>
        </w:tblPrEx>
        <w:trPr>
          <w:trHeight w:val="94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102.81</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10171</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102.81</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104.5709</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104.5709</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21</w:t>
            </w:r>
          </w:p>
        </w:tc>
      </w:tr>
      <w:tr>
        <w:tblPrEx>
          <w:tblLayout w:type="fixed"/>
          <w:tblCellMar>
            <w:top w:w="0" w:type="dxa"/>
            <w:left w:w="108" w:type="dxa"/>
            <w:bottom w:w="0" w:type="dxa"/>
            <w:right w:w="108" w:type="dxa"/>
          </w:tblCellMar>
        </w:tblPrEx>
        <w:trPr>
          <w:trHeight w:val="915"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8</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199.84</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10222</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199.84</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204.2842</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204.2842</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41</w:t>
            </w:r>
          </w:p>
        </w:tc>
      </w:tr>
      <w:tr>
        <w:tblPrEx>
          <w:tblLayout w:type="fixed"/>
          <w:tblCellMar>
            <w:top w:w="0" w:type="dxa"/>
            <w:left w:w="108" w:type="dxa"/>
            <w:bottom w:w="0" w:type="dxa"/>
            <w:right w:w="108" w:type="dxa"/>
          </w:tblCellMar>
        </w:tblPrEx>
        <w:trPr>
          <w:trHeight w:val="93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9</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39.75</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10273</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229.05</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7106</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268.8</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203.5916</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203.5916</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41</w:t>
            </w:r>
          </w:p>
        </w:tc>
      </w:tr>
      <w:tr>
        <w:tblPrEx>
          <w:tblLayout w:type="fixed"/>
          <w:tblCellMar>
            <w:top w:w="0" w:type="dxa"/>
            <w:left w:w="108" w:type="dxa"/>
            <w:bottom w:w="0" w:type="dxa"/>
            <w:right w:w="108" w:type="dxa"/>
          </w:tblCellMar>
        </w:tblPrEx>
        <w:trPr>
          <w:trHeight w:val="968"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121.17</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10325</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177.23</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7141</w:t>
            </w:r>
          </w:p>
        </w:tc>
        <w:tc>
          <w:tcPr>
            <w:tcW w:w="1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298.4</w:t>
            </w:r>
          </w:p>
        </w:tc>
        <w:tc>
          <w:tcPr>
            <w:tcW w:w="12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251.6619</w:t>
            </w:r>
          </w:p>
        </w:tc>
        <w:tc>
          <w:tcPr>
            <w:tcW w:w="9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　</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251.6619</w:t>
            </w:r>
          </w:p>
        </w:tc>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50</w:t>
            </w:r>
          </w:p>
        </w:tc>
      </w:tr>
      <w:tr>
        <w:tblPrEx>
          <w:tblLayout w:type="fixed"/>
          <w:tblCellMar>
            <w:top w:w="0" w:type="dxa"/>
            <w:left w:w="108" w:type="dxa"/>
            <w:bottom w:w="0" w:type="dxa"/>
            <w:right w:w="108" w:type="dxa"/>
          </w:tblCellMar>
        </w:tblPrEx>
        <w:trPr>
          <w:trHeight w:val="906" w:hRule="atLeast"/>
        </w:trPr>
        <w:tc>
          <w:tcPr>
            <w:tcW w:w="10786"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宋体" w:hAnsi="宋体" w:eastAsia="宋体" w:cs="宋体"/>
                <w:kern w:val="0"/>
                <w:szCs w:val="21"/>
                <w:lang w:val="en-US" w:eastAsia="zh-CN"/>
              </w:rPr>
            </w:pPr>
            <w:r>
              <w:rPr>
                <w:rFonts w:hint="eastAsia" w:ascii="宋体" w:hAnsi="宋体" w:cs="宋体"/>
                <w:kern w:val="0"/>
                <w:sz w:val="24"/>
                <w:szCs w:val="24"/>
                <w:lang w:val="en-US" w:eastAsia="zh-CN"/>
              </w:rPr>
              <w:t>标的位置：位于合作市卓尼西路农林周转房小区</w:t>
            </w:r>
          </w:p>
        </w:tc>
      </w:tr>
    </w:tbl>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b/>
          <w:bCs/>
          <w:sz w:val="28"/>
          <w:szCs w:val="28"/>
          <w:lang w:val="en-US" w:eastAsia="zh-CN"/>
        </w:rPr>
      </w:pPr>
      <w:r>
        <w:rPr>
          <w:rFonts w:hint="eastAsia"/>
          <w:b/>
          <w:bCs/>
          <w:sz w:val="28"/>
          <w:szCs w:val="28"/>
          <w:lang w:val="en-US" w:eastAsia="zh-CN"/>
        </w:rPr>
        <w:t>二、拍卖会报名、会议时间及会议地点变更</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sz w:val="28"/>
          <w:szCs w:val="28"/>
          <w:lang w:val="en-US" w:eastAsia="zh-CN"/>
        </w:rPr>
      </w:pPr>
      <w:r>
        <w:rPr>
          <w:rFonts w:hint="eastAsia"/>
          <w:sz w:val="28"/>
          <w:szCs w:val="28"/>
          <w:lang w:val="en-US" w:eastAsia="zh-CN"/>
        </w:rPr>
        <w:t>1、 原竞买者咨询时间：2017年8月28日至2017年9月18日。</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变更为：2017年9月15日至2017年10月16 日。</w:t>
      </w:r>
    </w:p>
    <w:p>
      <w:pPr>
        <w:keepNext w:val="0"/>
        <w:keepLines w:val="0"/>
        <w:pageBreakBefore w:val="0"/>
        <w:widowControl w:val="0"/>
        <w:numPr>
          <w:ilvl w:val="0"/>
          <w:numId w:val="2"/>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sz w:val="28"/>
          <w:szCs w:val="28"/>
          <w:lang w:val="en-US" w:eastAsia="zh-CN"/>
        </w:rPr>
      </w:pPr>
      <w:r>
        <w:rPr>
          <w:rFonts w:hint="eastAsia"/>
          <w:sz w:val="28"/>
          <w:szCs w:val="28"/>
          <w:lang w:val="en-US" w:eastAsia="zh-CN"/>
        </w:rPr>
        <w:t xml:space="preserve"> 原报名时间：2017年9月13日至2017年9月18日。</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变更为:2017年10月11日2017年10月16日（工作日）。</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right="0" w:rightChars="0"/>
        <w:jc w:val="both"/>
        <w:textAlignment w:val="auto"/>
        <w:outlineLvl w:val="9"/>
        <w:rPr>
          <w:rFonts w:hint="eastAsia"/>
          <w:sz w:val="28"/>
          <w:szCs w:val="28"/>
          <w:lang w:val="en-US" w:eastAsia="zh-CN"/>
        </w:rPr>
      </w:pPr>
      <w:r>
        <w:rPr>
          <w:rFonts w:hint="eastAsia"/>
          <w:sz w:val="28"/>
          <w:szCs w:val="28"/>
          <w:lang w:val="en-US" w:eastAsia="zh-CN"/>
        </w:rPr>
        <w:t>3、 原拍卖时间及地点：2017年9月19日下午14：30时甘南州公共资源交易中心三楼会议。</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变更为:2017年10月17日下午17:10时甘南州公共资源交易中心一楼开标厅。</w:t>
      </w:r>
    </w:p>
    <w:p>
      <w:pPr>
        <w:keepNext w:val="0"/>
        <w:keepLines w:val="0"/>
        <w:pageBreakBefore w:val="0"/>
        <w:widowControl w:val="0"/>
        <w:numPr>
          <w:ilvl w:val="0"/>
          <w:numId w:val="3"/>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b/>
          <w:bCs/>
          <w:sz w:val="28"/>
          <w:szCs w:val="28"/>
          <w:lang w:val="en-US" w:eastAsia="zh-CN"/>
        </w:rPr>
      </w:pPr>
      <w:r>
        <w:rPr>
          <w:rFonts w:hint="eastAsia"/>
          <w:b/>
          <w:bCs/>
          <w:sz w:val="28"/>
          <w:szCs w:val="28"/>
          <w:lang w:val="en-US" w:eastAsia="zh-CN"/>
        </w:rPr>
        <w:t>竞买保证金到账截止日期变更</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Chars="0" w:right="0" w:rightChars="0" w:firstLine="560" w:firstLineChars="200"/>
        <w:jc w:val="both"/>
        <w:textAlignment w:val="auto"/>
        <w:outlineLvl w:val="9"/>
        <w:rPr>
          <w:rFonts w:hint="eastAsia"/>
          <w:b w:val="0"/>
          <w:bCs w:val="0"/>
          <w:sz w:val="28"/>
          <w:szCs w:val="28"/>
          <w:lang w:val="en-US" w:eastAsia="zh-CN"/>
        </w:rPr>
      </w:pPr>
      <w:r>
        <w:rPr>
          <w:rFonts w:hint="eastAsia"/>
          <w:b w:val="0"/>
          <w:bCs w:val="0"/>
          <w:sz w:val="28"/>
          <w:szCs w:val="28"/>
          <w:lang w:val="en-US" w:eastAsia="zh-CN"/>
        </w:rPr>
        <w:t>原保证金到账截止日期2017年9月18日下午17：00时变更为2017年10月16日下午17：0</w:t>
      </w:r>
      <w:bookmarkStart w:id="0" w:name="_GoBack"/>
      <w:bookmarkEnd w:id="0"/>
      <w:r>
        <w:rPr>
          <w:rFonts w:hint="eastAsia"/>
          <w:b w:val="0"/>
          <w:bCs w:val="0"/>
          <w:sz w:val="28"/>
          <w:szCs w:val="28"/>
          <w:lang w:val="en-US" w:eastAsia="zh-CN"/>
        </w:rPr>
        <w:t>0时。</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b/>
          <w:bCs/>
          <w:sz w:val="28"/>
          <w:szCs w:val="28"/>
          <w:lang w:val="en-US" w:eastAsia="zh-CN"/>
        </w:rPr>
      </w:pPr>
      <w:r>
        <w:rPr>
          <w:rFonts w:hint="eastAsia"/>
          <w:b/>
          <w:bCs/>
          <w:sz w:val="28"/>
          <w:szCs w:val="28"/>
          <w:lang w:val="en-US" w:eastAsia="zh-CN"/>
        </w:rPr>
        <w:t xml:space="preserve">四、其他事项不变。                     </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sz w:val="28"/>
          <w:szCs w:val="28"/>
          <w:lang w:val="en-US" w:eastAsia="zh-CN"/>
        </w:rPr>
      </w:pP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sz w:val="28"/>
          <w:szCs w:val="28"/>
          <w:lang w:val="en-US" w:eastAsia="zh-CN"/>
        </w:rPr>
      </w:pP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sz w:val="28"/>
          <w:szCs w:val="28"/>
          <w:lang w:val="en-US" w:eastAsia="zh-CN"/>
        </w:rPr>
      </w:pP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right="0" w:rightChars="0" w:firstLine="4760" w:firstLineChars="1700"/>
        <w:jc w:val="both"/>
        <w:textAlignment w:val="auto"/>
        <w:outlineLvl w:val="9"/>
        <w:rPr>
          <w:rFonts w:hint="eastAsia"/>
          <w:sz w:val="28"/>
          <w:szCs w:val="28"/>
          <w:lang w:val="en-US" w:eastAsia="zh-CN"/>
        </w:rPr>
      </w:pPr>
      <w:r>
        <w:rPr>
          <w:rFonts w:hint="eastAsia"/>
          <w:sz w:val="28"/>
          <w:szCs w:val="28"/>
          <w:lang w:val="en-US" w:eastAsia="zh-CN"/>
        </w:rPr>
        <w:t xml:space="preserve">  甘南州公共资源交易中心</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right="0" w:rightChars="0" w:firstLine="5040" w:firstLineChars="1800"/>
        <w:jc w:val="both"/>
        <w:textAlignment w:val="auto"/>
        <w:outlineLvl w:val="9"/>
        <w:rPr>
          <w:rFonts w:hint="eastAsia"/>
          <w:sz w:val="28"/>
          <w:szCs w:val="28"/>
          <w:lang w:val="en-US" w:eastAsia="zh-CN"/>
        </w:rPr>
      </w:pPr>
      <w:r>
        <w:rPr>
          <w:rFonts w:hint="eastAsia"/>
          <w:sz w:val="28"/>
          <w:szCs w:val="28"/>
          <w:lang w:val="en-US" w:eastAsia="zh-CN"/>
        </w:rPr>
        <w:t xml:space="preserve">合作市房地产管理局   </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jc w:val="center"/>
        <w:textAlignment w:val="auto"/>
        <w:rPr>
          <w:rFonts w:hint="eastAsia"/>
          <w:sz w:val="28"/>
          <w:szCs w:val="28"/>
          <w:lang w:val="en-US" w:eastAsia="zh-CN"/>
        </w:rPr>
      </w:pPr>
      <w:r>
        <w:rPr>
          <w:rFonts w:hint="eastAsia"/>
          <w:sz w:val="28"/>
          <w:szCs w:val="28"/>
          <w:lang w:val="en-US" w:eastAsia="zh-CN"/>
        </w:rPr>
        <w:t xml:space="preserve">                                甘肃九方拍卖有限公司 </w:t>
      </w:r>
    </w:p>
    <w:p>
      <w:pPr>
        <w:keepNext w:val="0"/>
        <w:keepLines w:val="0"/>
        <w:pageBreakBefore w:val="0"/>
        <w:widowControl w:val="0"/>
        <w:numPr>
          <w:ilvl w:val="0"/>
          <w:numId w:val="0"/>
        </w:numPr>
        <w:tabs>
          <w:tab w:val="left" w:pos="2038"/>
        </w:tabs>
        <w:kinsoku/>
        <w:wordWrap/>
        <w:overflowPunct/>
        <w:topLinePunct w:val="0"/>
        <w:autoSpaceDE/>
        <w:autoSpaceDN/>
        <w:bidi w:val="0"/>
        <w:adjustRightInd/>
        <w:snapToGrid/>
        <w:spacing w:line="580" w:lineRule="exact"/>
        <w:ind w:left="0" w:leftChars="0" w:right="0" w:rightChars="0"/>
        <w:jc w:val="center"/>
        <w:textAlignment w:val="auto"/>
        <w:rPr>
          <w:rFonts w:hint="eastAsia"/>
          <w:sz w:val="28"/>
          <w:szCs w:val="28"/>
          <w:lang w:val="en-US" w:eastAsia="zh-CN"/>
        </w:rPr>
      </w:pPr>
      <w:r>
        <w:rPr>
          <w:rFonts w:hint="eastAsia"/>
          <w:sz w:val="28"/>
          <w:szCs w:val="28"/>
          <w:lang w:val="en-US" w:eastAsia="zh-CN"/>
        </w:rPr>
        <w:t xml:space="preserve">                                2017年9月15日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9EAB7"/>
    <w:multiLevelType w:val="singleLevel"/>
    <w:tmpl w:val="59B9EAB7"/>
    <w:lvl w:ilvl="0" w:tentative="0">
      <w:start w:val="2"/>
      <w:numFmt w:val="decimal"/>
      <w:suff w:val="nothing"/>
      <w:lvlText w:val="%1、"/>
      <w:lvlJc w:val="left"/>
    </w:lvl>
  </w:abstractNum>
  <w:abstractNum w:abstractNumId="1">
    <w:nsid w:val="59B9EC26"/>
    <w:multiLevelType w:val="singleLevel"/>
    <w:tmpl w:val="59B9EC26"/>
    <w:lvl w:ilvl="0" w:tentative="0">
      <w:start w:val="1"/>
      <w:numFmt w:val="chineseCounting"/>
      <w:suff w:val="nothing"/>
      <w:lvlText w:val="%1、"/>
      <w:lvlJc w:val="left"/>
    </w:lvl>
  </w:abstractNum>
  <w:abstractNum w:abstractNumId="2">
    <w:nsid w:val="59BA2938"/>
    <w:multiLevelType w:val="singleLevel"/>
    <w:tmpl w:val="59BA2938"/>
    <w:lvl w:ilvl="0" w:tentative="0">
      <w:start w:val="3"/>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A449A"/>
    <w:rsid w:val="0D853832"/>
    <w:rsid w:val="39493B76"/>
    <w:rsid w:val="431602E2"/>
    <w:rsid w:val="5F1E7A5E"/>
    <w:rsid w:val="602E569D"/>
    <w:rsid w:val="66AD10BF"/>
    <w:rsid w:val="68276732"/>
    <w:rsid w:val="69BE7ACD"/>
    <w:rsid w:val="6C4A449A"/>
    <w:rsid w:val="6CEB2203"/>
    <w:rsid w:val="77B16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p0"/>
    <w:basedOn w:val="1"/>
    <w:qFormat/>
    <w:uiPriority w:val="0"/>
    <w:rPr>
      <w:rFonts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2017-09-14T02:03:00Z</dcterms:created>
  <dc:creator>Administrator</dc:creator>
  <cp:lastModifiedBy>Administrator</cp:lastModifiedBy>
  <cp:lastPrinted>2017-09-14T07:20:00Z</cp:lastPrinted>
  <dcterms:modified xsi:type="dcterms:W3CDTF">2017-09-14T07:45:54Z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